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ТАРИФНОГО РЕГУЛИРОВАНИЯ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2013 г. N 62/3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СБЫТОВЫХ НАДБАВОК ГАРАНТИРУЮЩИХ ПОСТАВЩИКОВ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 октября 2012 г. N 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</w:t>
      </w:r>
      <w:proofErr w:type="gramEnd"/>
      <w:r>
        <w:rPr>
          <w:rFonts w:ascii="Calibri" w:hAnsi="Calibri" w:cs="Calibri"/>
        </w:rPr>
        <w:t xml:space="preserve">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тарифного регулирования Волгоградской области, утвержденным постановлением Правительства Волгоградской области от 19 июня 2012 г. N 125-п, комитет тарифного регулирования Волгоградской области постановляет: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01 января 2014 г. сбытовые </w:t>
      </w:r>
      <w:hyperlink w:anchor="Par30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гарантирующих поставщиков электрической энергии с календарной разбивкой согласно приложению к настоящему постановлению.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01 января 2014 г.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топлива, энергетики и тарифного регулирования Волгоградской области от 26 декабря 2012 г. N 36/4 "Об установлении сбытовых надбавок гарантирующих поставщиков на 2013 год".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осуществляющий</w:t>
      </w:r>
      <w:proofErr w:type="gramEnd"/>
      <w:r>
        <w:rPr>
          <w:rFonts w:ascii="Calibri" w:hAnsi="Calibri" w:cs="Calibri"/>
        </w:rPr>
        <w:t xml:space="preserve"> полномочия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комитета тарифного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Волгоградской области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О.В.СИМОНОВА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тарифного регулирования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62/3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D4AAB" w:rsidSect="00404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proofErr w:type="gramStart"/>
      <w:r>
        <w:rPr>
          <w:rFonts w:ascii="Calibri" w:hAnsi="Calibri" w:cs="Calibri"/>
          <w:b/>
          <w:bCs/>
        </w:rPr>
        <w:t>СБЫТОВЫЕ НАДБАВКИ ГАРАНТИРУЮЩИХ ПОСТАВЩИКОВ ЭЛЕКТРИЧЕСКОЙ</w:t>
      </w:r>
      <w:proofErr w:type="gramEnd"/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НА 2014 ГОД (ТАРИФЫ УКАЗЫВАЮТСЯ БЕЗ НДС)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381"/>
        <w:gridCol w:w="2381"/>
      </w:tblGrid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"население" и приравненные к нему категории потребителей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Волгоградэнергосбыт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0,24216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0,05977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0,12952</w:t>
            </w:r>
          </w:p>
        </w:tc>
      </w:tr>
    </w:tbl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381"/>
        <w:gridCol w:w="2381"/>
      </w:tblGrid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Волгоградэнергосбыт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0,33921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0,35702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0,27161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0,09076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0,13743</w:t>
            </w:r>
          </w:p>
        </w:tc>
      </w:tr>
    </w:tbl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4AAB" w:rsidRP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4AAB" w:rsidRPr="00BD4AAB" w:rsidRDefault="00BD4AAB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BD4AAB">
        <w:rPr>
          <w:rFonts w:ascii="Courier New" w:hAnsi="Courier New" w:cs="Courier New"/>
          <w:sz w:val="20"/>
          <w:szCs w:val="20"/>
          <w:lang w:val="en-US"/>
        </w:rPr>
        <w:lastRenderedPageBreak/>
        <w:t>┌───┬──────────</w:t>
      </w:r>
      <w:bookmarkStart w:id="3" w:name="_GoBack"/>
      <w:bookmarkEnd w:id="3"/>
      <w:r w:rsidRPr="00BD4AAB">
        <w:rPr>
          <w:rFonts w:ascii="Courier New" w:hAnsi="Courier New" w:cs="Courier New"/>
          <w:sz w:val="20"/>
          <w:szCs w:val="20"/>
          <w:lang w:val="en-US"/>
        </w:rPr>
        <w:t>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D4AAB" w:rsidRPr="00BD4AAB" w:rsidRDefault="00BD4AAB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BD4AAB">
        <w:rPr>
          <w:rFonts w:ascii="Courier New" w:hAnsi="Courier New" w:cs="Courier New"/>
          <w:sz w:val="20"/>
          <w:szCs w:val="20"/>
          <w:lang w:val="en-US"/>
        </w:rPr>
        <w:t xml:space="preserve">│ N │    </w:t>
      </w:r>
      <w:r>
        <w:rPr>
          <w:rFonts w:ascii="Courier New" w:hAnsi="Courier New" w:cs="Courier New"/>
          <w:sz w:val="20"/>
          <w:szCs w:val="20"/>
        </w:rPr>
        <w:t>Наименование</w:t>
      </w:r>
      <w:r w:rsidRPr="00BD4AAB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             </w:t>
      </w:r>
      <w:r>
        <w:rPr>
          <w:rFonts w:ascii="Courier New" w:hAnsi="Courier New" w:cs="Courier New"/>
          <w:sz w:val="20"/>
          <w:szCs w:val="20"/>
        </w:rPr>
        <w:t>Сбытовая</w:t>
      </w:r>
      <w:r w:rsidRPr="00BD4AA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надбавка</w:t>
      </w:r>
      <w:r w:rsidRPr="00BD4AAB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│</w:t>
      </w:r>
    </w:p>
    <w:p w:rsidR="00BD4AAB" w:rsidRPr="00BD4AAB" w:rsidRDefault="00BD4AAB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BD4AAB">
        <w:rPr>
          <w:rFonts w:ascii="Courier New" w:hAnsi="Courier New" w:cs="Courier New"/>
          <w:sz w:val="20"/>
          <w:szCs w:val="20"/>
          <w:lang w:val="en-US"/>
        </w:rPr>
        <w:t>│</w:t>
      </w:r>
      <w:r>
        <w:rPr>
          <w:rFonts w:ascii="Courier New" w:hAnsi="Courier New" w:cs="Courier New"/>
          <w:sz w:val="20"/>
          <w:szCs w:val="20"/>
        </w:rPr>
        <w:t>п</w:t>
      </w:r>
      <w:r w:rsidRPr="00BD4AAB">
        <w:rPr>
          <w:rFonts w:ascii="Courier New" w:hAnsi="Courier New" w:cs="Courier New"/>
          <w:sz w:val="20"/>
          <w:szCs w:val="20"/>
          <w:lang w:val="en-US"/>
        </w:rPr>
        <w:t>/</w:t>
      </w:r>
      <w:r>
        <w:rPr>
          <w:rFonts w:ascii="Courier New" w:hAnsi="Courier New" w:cs="Courier New"/>
          <w:sz w:val="20"/>
          <w:szCs w:val="20"/>
        </w:rPr>
        <w:t>п</w:t>
      </w:r>
      <w:r w:rsidRPr="00BD4AA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r>
        <w:rPr>
          <w:rFonts w:ascii="Courier New" w:hAnsi="Courier New" w:cs="Courier New"/>
          <w:sz w:val="20"/>
          <w:szCs w:val="20"/>
        </w:rPr>
        <w:t>гарантирующего</w:t>
      </w:r>
      <w:r w:rsidRPr="00BD4AAB">
        <w:rPr>
          <w:rFonts w:ascii="Courier New" w:hAnsi="Courier New" w:cs="Courier New"/>
          <w:sz w:val="20"/>
          <w:szCs w:val="20"/>
          <w:lang w:val="en-US"/>
        </w:rPr>
        <w:t xml:space="preserve">    ├─────────────────────────────────────────────────────────────────────────────────────────┤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│поставщика в субъекте│                          Тарифная группа "прочие потребители"     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Федерации ├─────────────────────────────────────────────────────────────────────────────────────────┤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 В виде формулы на розничном рынке на территориях, объединенных в ценовые зоны </w:t>
      </w:r>
      <w:proofErr w:type="gramStart"/>
      <w:r>
        <w:rPr>
          <w:rFonts w:ascii="Courier New" w:hAnsi="Courier New" w:cs="Courier New"/>
          <w:sz w:val="20"/>
          <w:szCs w:val="20"/>
        </w:rPr>
        <w:t>оптового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                       рынка                    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├────────────────────────────────────────────┬────────────────────────────────────────────┤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1 полугодие                 │                2 полугодие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2          │                     3                      │                     4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1.│ОАО                  │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    │                               э(м)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</w:t>
      </w:r>
      <w:proofErr w:type="spellStart"/>
      <w:r>
        <w:rPr>
          <w:rFonts w:ascii="Courier New" w:hAnsi="Courier New" w:cs="Courier New"/>
          <w:sz w:val="20"/>
          <w:szCs w:val="20"/>
        </w:rPr>
        <w:t>Волгоградэнергосбыт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"│СН           = 14,45 x 0,52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│СН           = 14,77 x 0,66 x Ц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до 150 кВт                                │  до 150 кВт          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├────────────────────────────────────────────┼────────────────────────────────────────────┤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│                                      э(м)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│СН                  = 13,41 x 0,52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│СН                  = 13,70 x 0,66 x Ц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от 150 до 670 кВт                         │  от 150 до 670 кВт   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├────────────────────────────────────────────┼────────────────────────────────────────────┤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м)│                                        э(м)│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│СН                     = 9,22 x 0,52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│СН                     = 9,42 x 0,66 x Ц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от 670 кВт до 10 МВт                      │  от 670 кВт до 10 МВт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├────────────────────────────────────────────┼────────────────────────────────────────────┤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│                                   э(м)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│СН                = 5,45 x 0,52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│СН                = 5,57 x 0,66 x Ц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не менее 10 МВт                           │  не менее 10 МВт     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2.│ООО                  │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    │                               э(м)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│"РУСЭНЕРГОСБЫТ"      │СН           = 15,02 x 0,62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│СН           = 15,03 x 0,98 x Ц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до 150 кВт                                │  до 150 кВт          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├────────────────────────────────────────────┼────────────────────────────────────────────┤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│                                      э(м)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│СН                  = 13,81 x 0,62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│СН                  = 13,82 x 0,98 x Ц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от 150 до 670 кВт                         │  от 150 до 670 кВт   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├────────────────────────────────────────────┼────────────────────────────────────────────┤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м)│                                        э(м)│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│СН                     = 9,40 x 0,62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│СН                     = 9,41 x 0,98 x Ц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от 670 кВт до 10 МВт                      │  от 670 кВт до 10 МВт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├────────────────────────────────────────────┼────────────────────────────────────────────┤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│                                   э(м)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                     │СН                = 5,45 x 0,62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│СН                = 5,46 x 0,98 x Ц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не менее 10 МВт                           │  не менее 10 МВт     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3.│ОАО                  │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    │                               э(м)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</w:t>
      </w:r>
      <w:proofErr w:type="spellStart"/>
      <w:r>
        <w:rPr>
          <w:rFonts w:ascii="Courier New" w:hAnsi="Courier New" w:cs="Courier New"/>
          <w:sz w:val="20"/>
          <w:szCs w:val="20"/>
        </w:rPr>
        <w:t>Оборонэнергосбыт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"   │СН           = 15,03 x 0,23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│СН           = 15,20 x 0,56 x Ц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до 150 кВт                                │  до 150 кВт          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├────────────────────────────────────────────┼────────────────────────────────────────────┤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│                                      э(м)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│СН                  = 13,82 x 0,23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│СН                  = 13,97 x 0,56 x Ц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от 150 до 670 кВт                         │  от 150 до 670 кВт   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├────────────────────────────────────────────┼────────────────────────────────────────────┤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м)│                                        э(м)│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│СН                     = 9,41 x 0,23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│СН                     = 9,52 x 0,56 x Ц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от 670 кВт до 10 МВт                      │  от 670 кВт до 10 МВт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├────────────────────────────────────────────┼────────────────────────────────────────────┤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│                                   э(м)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│СН                = 5,46 x 0,23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│СН                = 5,52 x 0,56 x Ц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не менее 10 МВт                           │  не менее 10 МВт                           │</w:t>
      </w:r>
    </w:p>
    <w:p w:rsidR="00BD4AAB" w:rsidRDefault="00BD4A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┴────────────────────────────────────────────┴────────────────────────────────────────────┘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AAB" w:rsidRDefault="00BD4AAB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BD4AAB" w:rsidRDefault="00BD4AAB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-  j-й   вид  цены на электрическую энергию и (или) мощность k-</w:t>
      </w:r>
      <w:proofErr w:type="spellStart"/>
      <w:r>
        <w:t>го</w:t>
      </w:r>
      <w:proofErr w:type="spellEnd"/>
    </w:p>
    <w:p w:rsidR="00BD4AAB" w:rsidRDefault="00BD4AAB">
      <w:pPr>
        <w:pStyle w:val="ConsPlusNonformat"/>
      </w:pPr>
      <w:r>
        <w:t xml:space="preserve">     j, k</w:t>
      </w:r>
    </w:p>
    <w:p w:rsidR="00BD4AAB" w:rsidRDefault="00BD4AAB">
      <w:pPr>
        <w:pStyle w:val="ConsPlusNonformat"/>
      </w:pPr>
      <w:r>
        <w:t>ГП, 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 или  руб./кВт,  указанный в </w:t>
      </w:r>
      <w:hyperlink r:id="rId10" w:history="1">
        <w:r>
          <w:rPr>
            <w:color w:val="0000FF"/>
          </w:rPr>
          <w:t>п. 16</w:t>
        </w:r>
      </w:hyperlink>
      <w:r>
        <w:t xml:space="preserve"> Методических указаний по</w:t>
      </w:r>
    </w:p>
    <w:p w:rsidR="00BD4AAB" w:rsidRDefault="00BD4AAB">
      <w:pPr>
        <w:pStyle w:val="ConsPlusNonformat"/>
      </w:pPr>
      <w:r>
        <w:t>расчету  сбытовых  надбавок  гарантирующих поставщиков и размера доходности</w:t>
      </w:r>
    </w:p>
    <w:p w:rsidR="00BD4AAB" w:rsidRDefault="00BD4AAB">
      <w:pPr>
        <w:pStyle w:val="ConsPlusNonformat"/>
      </w:pPr>
      <w:r>
        <w:t>продаж   гарантирующих   поставщиков,   утвержденных  приказом  ФСТ  России</w:t>
      </w:r>
    </w:p>
    <w:p w:rsidR="00BD4AAB" w:rsidRDefault="00BD4AAB">
      <w:pPr>
        <w:pStyle w:val="ConsPlusNonformat"/>
      </w:pPr>
      <w:proofErr w:type="gramStart"/>
      <w:r>
        <w:t>от   30.10.2012  N  703-э  (зарегистрировано  в  Минюсте России 29.11.2012,</w:t>
      </w:r>
      <w:proofErr w:type="gramEnd"/>
    </w:p>
    <w:p w:rsidR="00BD4AAB" w:rsidRDefault="00BD4AAB">
      <w:pPr>
        <w:pStyle w:val="ConsPlusNonformat"/>
      </w:pPr>
      <w:r>
        <w:t>регистрационный N 25975);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</w:rPr>
        <w:t>ДПi.k</w:t>
      </w:r>
      <w:proofErr w:type="spellEnd"/>
      <w:r>
        <w:rPr>
          <w:rFonts w:ascii="Calibri" w:hAnsi="Calibri" w:cs="Calibri"/>
        </w:rPr>
        <w:t xml:space="preserve"> - доходность продаж, определяемая в соответствии с Методическими </w:t>
      </w:r>
      <w:hyperlink r:id="rId11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ФСТ России от 30.10.2012 N 703-э (зарегистрировано в Минюсте России 29.11.2012, регистрационный N 25975), и указанная в отношении i-х подгрупп группы "прочие потребители" k-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ГП в таблице: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D4AAB" w:rsidRPr="00BD4AAB" w:rsidRDefault="00BD4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в субъекте Российской Федерации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Доходность продаж для группы "прочие потребители" (ДП)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подгруппы потребителей с максимальной мощностью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до 670 кВт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Волгоградэнергосбыт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5,52</w:t>
            </w:r>
          </w:p>
        </w:tc>
      </w:tr>
    </w:tbl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21pt">
            <v:imagedata r:id="rId12" o:title=""/>
          </v:shape>
        </w:pict>
      </w:r>
      <w:r>
        <w:rPr>
          <w:rFonts w:ascii="Calibri" w:hAnsi="Calibri" w:cs="Calibri"/>
        </w:rPr>
        <w:t xml:space="preserve"> - коэффициент параметров деятельности ГП, определяемый в соответствии с Методическими </w:t>
      </w:r>
      <w:hyperlink r:id="rId13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ФСТ России от 30.10.2012 N 703-э (зарегистрировано в Минюсте России 29.11.2012, регистрационный N 25975), и указанный в отношении группы "прочие потребители" k-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ГП в таблице:</w:t>
      </w: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381"/>
        <w:gridCol w:w="2381"/>
      </w:tblGrid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в субъекте Российской Федерации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параметров деятельности гарантирующего поставщика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position w:val="-5"/>
              </w:rPr>
              <w:pict>
                <v:shape id="_x0000_i1026" type="#_x0000_t75" style="width:22pt;height:1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Волгоградэнергосбыт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BD4A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B" w:rsidRDefault="00BD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</w:tbl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AAB" w:rsidRDefault="00BD4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AAB" w:rsidRDefault="00BD4A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4F75" w:rsidRDefault="00A34F75"/>
    <w:sectPr w:rsidR="00A34F7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AB"/>
    <w:rsid w:val="00A34F75"/>
    <w:rsid w:val="00B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4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4A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4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4A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49E0D6B0A6EE8240A5D7F46CA4339F97C4A4E1A48D1F7C3714D76A06E96A89E6ACE82CC78280D435DBY8WFG" TargetMode="External"/><Relationship Id="rId13" Type="http://schemas.openxmlformats.org/officeDocument/2006/relationships/hyperlink" Target="consultantplus://offline/ref=848249E0D6B0A6EE8240BBDAE200FB369E9F92AFEDA9834E22684F8A3D0FE33DCEA9F5AA68CA8381YDW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8249E0D6B0A6EE8240BBDAE200FB369E9F92AFEDA9834E22684F8A3DY0WFG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49E0D6B0A6EE8240BBDAE200FB369E999DAAEAA8834E22684F8A3DY0WFG" TargetMode="External"/><Relationship Id="rId11" Type="http://schemas.openxmlformats.org/officeDocument/2006/relationships/hyperlink" Target="consultantplus://offline/ref=848249E0D6B0A6EE8240BBDAE200FB369E9F92AFEDA9834E22684F8A3D0FE33DCEA9F5AA68CA8381YDW7G" TargetMode="External"/><Relationship Id="rId5" Type="http://schemas.openxmlformats.org/officeDocument/2006/relationships/hyperlink" Target="consultantplus://offline/ref=848249E0D6B0A6EE8240BBDAE200FB369E999EA1E9A1834E22684F8A3DY0WF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8249E0D6B0A6EE8240BBDAE200FB369E9F92AFEDA9834E22684F8A3D0FE33DCEA9F5AA68CA8389YDW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249E0D6B0A6EE8240A5D7F46CA4339F97C4A4E0A1891A7E3714D76A06E96AY8W9G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Наталья Михайловна</dc:creator>
  <cp:lastModifiedBy>Юркова Наталья Михайловна</cp:lastModifiedBy>
  <cp:revision>1</cp:revision>
  <dcterms:created xsi:type="dcterms:W3CDTF">2014-02-13T06:22:00Z</dcterms:created>
  <dcterms:modified xsi:type="dcterms:W3CDTF">2014-02-13T06:24:00Z</dcterms:modified>
</cp:coreProperties>
</file>