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9" w:rsidRDefault="009971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7109" w:rsidRDefault="00997109">
      <w:pPr>
        <w:pStyle w:val="ConsPlusTitle"/>
        <w:widowControl/>
        <w:jc w:val="center"/>
        <w:outlineLvl w:val="0"/>
      </w:pPr>
      <w:r>
        <w:t>ГОСУДАРСТВЕННЫЙ КОМИТЕТ</w:t>
      </w:r>
    </w:p>
    <w:p w:rsidR="00997109" w:rsidRDefault="00997109">
      <w:pPr>
        <w:pStyle w:val="ConsPlusTitle"/>
        <w:widowControl/>
        <w:jc w:val="center"/>
      </w:pPr>
      <w:r>
        <w:t>"ЕДИНЫЙ ТАРИФНЫЙ ОРГАН ЧЕЛЯБИНСКОЙ ОБЛАСТИ"</w:t>
      </w:r>
    </w:p>
    <w:p w:rsidR="00997109" w:rsidRDefault="00997109">
      <w:pPr>
        <w:pStyle w:val="ConsPlusTitle"/>
        <w:widowControl/>
        <w:jc w:val="center"/>
      </w:pPr>
    </w:p>
    <w:p w:rsidR="00997109" w:rsidRDefault="00997109">
      <w:pPr>
        <w:pStyle w:val="ConsPlusTitle"/>
        <w:widowControl/>
        <w:jc w:val="center"/>
      </w:pPr>
      <w:r>
        <w:t>ПОСТАНОВЛЕНИЕ</w:t>
      </w:r>
    </w:p>
    <w:p w:rsidR="00997109" w:rsidRDefault="00997109">
      <w:pPr>
        <w:pStyle w:val="ConsPlusTitle"/>
        <w:widowControl/>
        <w:jc w:val="center"/>
      </w:pPr>
      <w:r>
        <w:t>от 22 декабря 2011 г. N 46/4</w:t>
      </w:r>
    </w:p>
    <w:p w:rsidR="00997109" w:rsidRDefault="00997109">
      <w:pPr>
        <w:pStyle w:val="ConsPlusTitle"/>
        <w:widowControl/>
        <w:jc w:val="center"/>
      </w:pPr>
    </w:p>
    <w:p w:rsidR="00997109" w:rsidRDefault="00997109">
      <w:pPr>
        <w:pStyle w:val="ConsPlusTitle"/>
        <w:widowControl/>
        <w:jc w:val="center"/>
      </w:pPr>
      <w:r>
        <w:t>Об установлении тарифов на электрическую энергию,</w:t>
      </w:r>
    </w:p>
    <w:p w:rsidR="00997109" w:rsidRDefault="00997109">
      <w:pPr>
        <w:pStyle w:val="ConsPlusTitle"/>
        <w:widowControl/>
        <w:jc w:val="center"/>
      </w:pPr>
      <w:proofErr w:type="gramStart"/>
      <w:r>
        <w:t>поставляемую</w:t>
      </w:r>
      <w:proofErr w:type="gramEnd"/>
      <w:r>
        <w:t xml:space="preserve"> ООО "</w:t>
      </w:r>
      <w:proofErr w:type="spellStart"/>
      <w:r>
        <w:t>Русэнергосбыт</w:t>
      </w:r>
      <w:proofErr w:type="spellEnd"/>
      <w:r>
        <w:t>" населению и приравненным</w:t>
      </w:r>
    </w:p>
    <w:p w:rsidR="00997109" w:rsidRDefault="00997109">
      <w:pPr>
        <w:pStyle w:val="ConsPlusTitle"/>
        <w:widowControl/>
        <w:jc w:val="center"/>
      </w:pPr>
      <w:r>
        <w:t>к нему категориям потребителей на территории</w:t>
      </w:r>
    </w:p>
    <w:p w:rsidR="00997109" w:rsidRDefault="00997109">
      <w:pPr>
        <w:pStyle w:val="ConsPlusTitle"/>
        <w:widowControl/>
        <w:jc w:val="center"/>
      </w:pPr>
      <w:r>
        <w:t>Челябинской области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26 марта 2003 года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года N 109 "О ценообразовании в отношении электрической и тепловой энергии в Российской Федерации", приказами Федеральной службы по тарифам от 6 августа 2004 года </w:t>
      </w:r>
      <w:hyperlink r:id="rId6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цен на электрическую (тепловую) энергию на розничном (потребительском) рынке", от 6 октября 2011 года </w:t>
      </w:r>
      <w:hyperlink r:id="rId7" w:history="1">
        <w:r>
          <w:rPr>
            <w:rFonts w:ascii="Calibri" w:hAnsi="Calibri" w:cs="Calibri"/>
            <w:color w:val="0000FF"/>
          </w:rPr>
          <w:t>N 240-э/5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энергию, поставляемую населению и приравненным к нему категориям потребителей, на 2012 год", от 8 апреля 2005 года </w:t>
      </w:r>
      <w:hyperlink r:id="rId8" w:history="1">
        <w:r>
          <w:rPr>
            <w:rFonts w:ascii="Calibri" w:hAnsi="Calibri" w:cs="Calibri"/>
            <w:color w:val="0000FF"/>
          </w:rPr>
          <w:t>N 130-э</w:t>
        </w:r>
      </w:hyperlink>
      <w:r>
        <w:rPr>
          <w:rFonts w:ascii="Calibri" w:hAnsi="Calibri" w:cs="Calibri"/>
        </w:rPr>
        <w:t xml:space="preserve"> "Об утверждении Регламента рассмотрения дел об установлении тарифов и (или) их предельных уровней на электрическую (тепловую) энергию (мощность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и на услуги, оказываемые на оптовом и розничных рынках электрической (тепловой) энергии (мощности)",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Челябинской области от 1 сентября 2004 года N 477 "Об утверждении Положения, структуры и штатной численности Государственного комитета "Единый тарифный орган Челябинской области" и на основании протокола заседания правления Государственного комитета "Единый тарифный орган Челябинской области" от 22 декабря 2011 года N 46 Государственный комитет</w:t>
      </w:r>
      <w:proofErr w:type="gramEnd"/>
      <w:r>
        <w:rPr>
          <w:rFonts w:ascii="Calibri" w:hAnsi="Calibri" w:cs="Calibri"/>
        </w:rPr>
        <w:t xml:space="preserve"> "Единый тарифный орган Челябинской области"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1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энергию, поставляемую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 населению и приравненным к нему категориям потребителей на территории Челябинской области, согласно приложению 1.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</w:t>
      </w:r>
      <w:hyperlink r:id="rId12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действуют согласно календарной разбивке, указанной в </w:t>
      </w:r>
      <w:hyperlink r:id="rId13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ЕТО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С.Ю.ОБРАЗЦОВ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109" w:rsidRDefault="0099710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997109" w:rsidRDefault="009971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ЕТО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2011 г. N 46/4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7109" w:rsidRDefault="00997109">
      <w:pPr>
        <w:pStyle w:val="ConsPlusTitle"/>
        <w:widowControl/>
        <w:jc w:val="center"/>
      </w:pPr>
      <w:r>
        <w:t>Тарифы</w:t>
      </w:r>
    </w:p>
    <w:p w:rsidR="00997109" w:rsidRDefault="00997109">
      <w:pPr>
        <w:pStyle w:val="ConsPlusTitle"/>
        <w:widowControl/>
        <w:jc w:val="center"/>
      </w:pPr>
      <w:r>
        <w:t>на электрическую энергию, поставляемую ООО "</w:t>
      </w:r>
      <w:proofErr w:type="spellStart"/>
      <w:r>
        <w:t>Русэнергосбыт</w:t>
      </w:r>
      <w:proofErr w:type="spellEnd"/>
      <w:r>
        <w:t>"</w:t>
      </w:r>
    </w:p>
    <w:p w:rsidR="00997109" w:rsidRDefault="00997109">
      <w:pPr>
        <w:pStyle w:val="ConsPlusTitle"/>
        <w:widowControl/>
        <w:jc w:val="center"/>
      </w:pPr>
      <w:r>
        <w:t>населению и приравненным к нему категориям потребителей</w:t>
      </w:r>
    </w:p>
    <w:p w:rsidR="00997109" w:rsidRDefault="00997109">
      <w:pPr>
        <w:pStyle w:val="ConsPlusTitle"/>
        <w:widowControl/>
        <w:jc w:val="center"/>
      </w:pPr>
      <w:r>
        <w:t>на территории Челябинской области в 2012 году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995"/>
        <w:gridCol w:w="2160"/>
        <w:gridCol w:w="2025"/>
      </w:tblGrid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Показатель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(группы потребителей с разбивкой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ставкам и дифференциацией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зонам суток)           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Тарифы, руб./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01.01.2012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30.06.2012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01.07.2012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31.12.2012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(с учетом НДС)                            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указанного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пунктах 1.2 и 1.3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2,09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2,328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2,47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1,133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1,20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2,887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3,06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2,09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1,133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1,20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           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1,379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1,46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1,630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1,73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0,793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0,84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2,021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2,14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1,379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1,46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0,793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0,84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1,379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1,46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1,630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1,73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0,793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0,84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2,021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2,14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1,379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1,46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0,793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0,84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(с учетом НДС)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Одноставочный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тариф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2,09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      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2,328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2,47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1,133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1,20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 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                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2,887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3,06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1,970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2,09     </w:t>
            </w:r>
          </w:p>
        </w:tc>
      </w:tr>
      <w:tr w:rsidR="009971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1,133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109" w:rsidRDefault="0099710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1,20     </w:t>
            </w:r>
          </w:p>
        </w:tc>
      </w:tr>
    </w:tbl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К потребителям, приравненным к категории "Население", указанным в </w:t>
      </w:r>
      <w:hyperlink r:id="rId1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приложения,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31 декабря 2010 года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 (в редакции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15 июня 2011 года N 139-э/2) относятся:</w:t>
      </w:r>
      <w:proofErr w:type="gramEnd"/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rPr>
          <w:rFonts w:ascii="Calibri" w:hAnsi="Calibri" w:cs="Calibri"/>
        </w:rPr>
        <w:t>наймодатели</w:t>
      </w:r>
      <w:proofErr w:type="spellEnd"/>
      <w:r>
        <w:rPr>
          <w:rFonts w:ascii="Calibri" w:hAnsi="Calibri" w:cs="Calibri"/>
        </w:rPr>
        <w:t xml:space="preserve"> (или уполномоченные ими лица), предоставляющие </w:t>
      </w:r>
      <w:r>
        <w:rPr>
          <w:rFonts w:ascii="Calibri" w:hAnsi="Calibri" w:cs="Calibri"/>
        </w:rPr>
        <w:lastRenderedPageBreak/>
        <w:t>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</w:t>
      </w:r>
      <w:proofErr w:type="gramEnd"/>
      <w:r>
        <w:rPr>
          <w:rFonts w:ascii="Calibri" w:hAnsi="Calibri" w:cs="Calibri"/>
        </w:rPr>
        <w:t xml:space="preserve">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содержащиеся за счет прихожан религиозные организации;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е) гарантирующие поставщики, </w:t>
      </w:r>
      <w:proofErr w:type="spellStart"/>
      <w:r>
        <w:rPr>
          <w:rFonts w:ascii="Calibri" w:hAnsi="Calibri" w:cs="Calibri"/>
        </w:rPr>
        <w:t>энергосбытовые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энергоснабжающие</w:t>
      </w:r>
      <w:proofErr w:type="spellEnd"/>
      <w:r>
        <w:rPr>
          <w:rFonts w:ascii="Calibri" w:hAnsi="Calibri" w:cs="Calibri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деятельности;</w:t>
      </w:r>
      <w:proofErr w:type="gramEnd"/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хозяйственные постройки физических лиц (погреба, сараи и иные сооружения аналогичного назначения);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а) для потребителей, указанных в </w:t>
      </w:r>
      <w:hyperlink r:id="rId17" w:history="1">
        <w:r>
          <w:rPr>
            <w:rFonts w:ascii="Calibri" w:hAnsi="Calibri" w:cs="Calibri"/>
            <w:color w:val="0000FF"/>
          </w:rPr>
          <w:t>пунктах 1-а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1-е</w:t>
        </w:r>
      </w:hyperlink>
      <w:r>
        <w:rPr>
          <w:rFonts w:ascii="Calibri" w:hAnsi="Calibri" w:cs="Calibri"/>
        </w:rPr>
        <w:t xml:space="preserve"> примечаний, оплата электрической энергии производится по тарифам группы "Население";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потребителей, указанных в </w:t>
      </w:r>
      <w:hyperlink r:id="rId19" w:history="1">
        <w:r>
          <w:rPr>
            <w:rFonts w:ascii="Calibri" w:hAnsi="Calibri" w:cs="Calibri"/>
            <w:color w:val="0000FF"/>
          </w:rPr>
          <w:t>п. 1-б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1-в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1-г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1-д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1-ж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1-з</w:t>
        </w:r>
      </w:hyperlink>
      <w:r>
        <w:rPr>
          <w:rFonts w:ascii="Calibri" w:hAnsi="Calibri" w:cs="Calibri"/>
        </w:rPr>
        <w:t xml:space="preserve"> примечаний, оплата электрической энергии производится по тарифам группы "Потребители, приравненные к населению".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Интервалы тарифных зон суток для </w:t>
      </w:r>
      <w:proofErr w:type="spellStart"/>
      <w:r>
        <w:rPr>
          <w:rFonts w:ascii="Calibri" w:hAnsi="Calibri" w:cs="Calibri"/>
        </w:rPr>
        <w:t>энергозон</w:t>
      </w:r>
      <w:proofErr w:type="spellEnd"/>
      <w:r>
        <w:rPr>
          <w:rFonts w:ascii="Calibri" w:hAnsi="Calibri" w:cs="Calibri"/>
        </w:rPr>
        <w:t xml:space="preserve"> России установлены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20 декабря 2011 года N 378-э/2 "Об интервалах тарифных зон суток для </w:t>
      </w:r>
      <w:proofErr w:type="spellStart"/>
      <w:r>
        <w:rPr>
          <w:rFonts w:ascii="Calibri" w:hAnsi="Calibri" w:cs="Calibri"/>
        </w:rPr>
        <w:t>энергозон</w:t>
      </w:r>
      <w:proofErr w:type="spellEnd"/>
      <w:r>
        <w:rPr>
          <w:rFonts w:ascii="Calibri" w:hAnsi="Calibri" w:cs="Calibri"/>
        </w:rPr>
        <w:t xml:space="preserve"> (ОЭС) России по месяцам 2012 года". При установлении зонных тарифов на электрическую энергию не учитываются выходные и праздничные дни. По зоне "ОЭС Урала" установлены следующие интервалы времени (время местное):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ночная зона - с 23-00 до 7-00 часов;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пиковая и полупиковая зоны - в остальное время.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Потребители (в том числе население) при наличии технических средств учета, допускающих настройку по зонам суток, принятых 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 xml:space="preserve">" в эксплуатацию в установленном порядке и включенных в договор энергоснабжения,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58</w:t>
        </w:r>
      </w:hyperlink>
      <w:r>
        <w:rPr>
          <w:rFonts w:ascii="Calibri" w:hAnsi="Calibri" w:cs="Calibri"/>
        </w:rPr>
        <w:t xml:space="preserve"> Постановления Правительства РФ от 26 февраля 2004 года N 109 "О ценообразовании в отношении электрической и тепловой энергии в Российской Федерации" самостоятельно выбирают для проведения расчетов за</w:t>
      </w:r>
      <w:proofErr w:type="gramEnd"/>
      <w:r>
        <w:rPr>
          <w:rFonts w:ascii="Calibri" w:hAnsi="Calibri" w:cs="Calibri"/>
        </w:rPr>
        <w:t xml:space="preserve"> электрическую энергию на расчетный период регулирования один из вариантов тарифа, уведомив об этом организацию, поставляющую ему электрическую энергию, не менее чем за месяц до вступления в установленном порядке в силу указанных тарифов. При отсутствии такого уведомления расчет за электрическую энергию </w:t>
      </w:r>
      <w:r>
        <w:rPr>
          <w:rFonts w:ascii="Calibri" w:hAnsi="Calibri" w:cs="Calibri"/>
        </w:rPr>
        <w:lastRenderedPageBreak/>
        <w:t>производится по варианту тарифа, действовавшему в период, предшествующий расчетному. Затраты по установке и настройке приборов учета несет собственник прибора учета.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гражданин одновременно имеет право на льготные тарифы и скидки по нескольким основаниям, льгота предоставляется по выбору гражданина по одному из них.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Нормативы потребления электроэнергии применяются в соответствии с законодательством Российской Федерации, устанавливающим право на льготу по оплате электроэнергии. Льготы, предусмотренные действующим законодательством, предоставляются гражданам по тарифам для соответствующих групп потребителей.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один из членов семьи имеет право на льготу, а на других членов семьи льгота не распространяется, из общего потребления электрической энергии семьи доля льготника в объеме норматива оплачивается со скидкой, а остальная часть энергии оплачивается на общих основаниях.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отопительный период при наличии стационарного </w:t>
      </w:r>
      <w:proofErr w:type="spellStart"/>
      <w:r>
        <w:rPr>
          <w:rFonts w:ascii="Calibri" w:hAnsi="Calibri" w:cs="Calibri"/>
        </w:rPr>
        <w:t>электроотопления</w:t>
      </w:r>
      <w:proofErr w:type="spellEnd"/>
      <w:r>
        <w:rPr>
          <w:rFonts w:ascii="Calibri" w:hAnsi="Calibri" w:cs="Calibri"/>
        </w:rPr>
        <w:t xml:space="preserve"> для льготных категорий нормативом считать долю льготника, рассчитанную из фактического потребления электроэнергии и количества лиц, зарегистрированных по данному адресу.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ЕТО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С.Ю.ОБРАЗЦОВ</w:t>
      </w: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109" w:rsidRDefault="0099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109" w:rsidRDefault="0099710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6D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109"/>
    <w:rsid w:val="0000770E"/>
    <w:rsid w:val="00013FF5"/>
    <w:rsid w:val="00017612"/>
    <w:rsid w:val="0002632D"/>
    <w:rsid w:val="00076611"/>
    <w:rsid w:val="000A5E81"/>
    <w:rsid w:val="000D3B53"/>
    <w:rsid w:val="000D6113"/>
    <w:rsid w:val="000F2989"/>
    <w:rsid w:val="000F411B"/>
    <w:rsid w:val="000F449E"/>
    <w:rsid w:val="001038EA"/>
    <w:rsid w:val="001139F0"/>
    <w:rsid w:val="00123130"/>
    <w:rsid w:val="001238A6"/>
    <w:rsid w:val="00133548"/>
    <w:rsid w:val="001512DC"/>
    <w:rsid w:val="00151609"/>
    <w:rsid w:val="0015245A"/>
    <w:rsid w:val="00155B23"/>
    <w:rsid w:val="001615E9"/>
    <w:rsid w:val="00163656"/>
    <w:rsid w:val="00170177"/>
    <w:rsid w:val="00177EFA"/>
    <w:rsid w:val="00183778"/>
    <w:rsid w:val="001A7664"/>
    <w:rsid w:val="001B770C"/>
    <w:rsid w:val="001C0D5C"/>
    <w:rsid w:val="001C30B4"/>
    <w:rsid w:val="001C4480"/>
    <w:rsid w:val="001D2C06"/>
    <w:rsid w:val="001E1CE9"/>
    <w:rsid w:val="001F3DE7"/>
    <w:rsid w:val="001F430A"/>
    <w:rsid w:val="00204CED"/>
    <w:rsid w:val="00221550"/>
    <w:rsid w:val="0023352C"/>
    <w:rsid w:val="002368A4"/>
    <w:rsid w:val="002875D7"/>
    <w:rsid w:val="002D457B"/>
    <w:rsid w:val="002E732C"/>
    <w:rsid w:val="0031077C"/>
    <w:rsid w:val="00315A51"/>
    <w:rsid w:val="00320A2A"/>
    <w:rsid w:val="003214EA"/>
    <w:rsid w:val="00321C33"/>
    <w:rsid w:val="00341325"/>
    <w:rsid w:val="0034149C"/>
    <w:rsid w:val="00343977"/>
    <w:rsid w:val="00350CEE"/>
    <w:rsid w:val="00392023"/>
    <w:rsid w:val="00396377"/>
    <w:rsid w:val="003A2407"/>
    <w:rsid w:val="003A3F07"/>
    <w:rsid w:val="003B69AC"/>
    <w:rsid w:val="003E1DEE"/>
    <w:rsid w:val="003E755A"/>
    <w:rsid w:val="004030C7"/>
    <w:rsid w:val="00412D04"/>
    <w:rsid w:val="004168BB"/>
    <w:rsid w:val="00416C93"/>
    <w:rsid w:val="004238F5"/>
    <w:rsid w:val="004322FF"/>
    <w:rsid w:val="00434573"/>
    <w:rsid w:val="0044623F"/>
    <w:rsid w:val="0045191D"/>
    <w:rsid w:val="00455AA7"/>
    <w:rsid w:val="00490B68"/>
    <w:rsid w:val="004972B9"/>
    <w:rsid w:val="004B281E"/>
    <w:rsid w:val="004C1101"/>
    <w:rsid w:val="004F1EC7"/>
    <w:rsid w:val="00526023"/>
    <w:rsid w:val="00526852"/>
    <w:rsid w:val="00553232"/>
    <w:rsid w:val="005540C5"/>
    <w:rsid w:val="005822E2"/>
    <w:rsid w:val="00586EFB"/>
    <w:rsid w:val="00594263"/>
    <w:rsid w:val="005B6C63"/>
    <w:rsid w:val="005C35B6"/>
    <w:rsid w:val="005C48F1"/>
    <w:rsid w:val="005D6AFA"/>
    <w:rsid w:val="005F259A"/>
    <w:rsid w:val="00612CBE"/>
    <w:rsid w:val="00612D40"/>
    <w:rsid w:val="00621B02"/>
    <w:rsid w:val="0062440A"/>
    <w:rsid w:val="00647BCD"/>
    <w:rsid w:val="006540DB"/>
    <w:rsid w:val="00665767"/>
    <w:rsid w:val="00665C2F"/>
    <w:rsid w:val="006661E3"/>
    <w:rsid w:val="006829ED"/>
    <w:rsid w:val="0069783F"/>
    <w:rsid w:val="006A2009"/>
    <w:rsid w:val="006A4CBB"/>
    <w:rsid w:val="006A735E"/>
    <w:rsid w:val="006B74D0"/>
    <w:rsid w:val="006C2759"/>
    <w:rsid w:val="006D0569"/>
    <w:rsid w:val="006F6B53"/>
    <w:rsid w:val="007214A2"/>
    <w:rsid w:val="0075023A"/>
    <w:rsid w:val="007618DD"/>
    <w:rsid w:val="00782166"/>
    <w:rsid w:val="00782B7A"/>
    <w:rsid w:val="00783300"/>
    <w:rsid w:val="007A57A4"/>
    <w:rsid w:val="007C2A98"/>
    <w:rsid w:val="007C4A3D"/>
    <w:rsid w:val="007D1CE2"/>
    <w:rsid w:val="007E23D3"/>
    <w:rsid w:val="007F14F4"/>
    <w:rsid w:val="007F52FB"/>
    <w:rsid w:val="008020DD"/>
    <w:rsid w:val="00805411"/>
    <w:rsid w:val="0081519F"/>
    <w:rsid w:val="00825070"/>
    <w:rsid w:val="00841E2A"/>
    <w:rsid w:val="008526F4"/>
    <w:rsid w:val="0085638F"/>
    <w:rsid w:val="00857B13"/>
    <w:rsid w:val="008611DE"/>
    <w:rsid w:val="00862399"/>
    <w:rsid w:val="008750ED"/>
    <w:rsid w:val="00885CD0"/>
    <w:rsid w:val="00890780"/>
    <w:rsid w:val="008A5EDD"/>
    <w:rsid w:val="008B3ECC"/>
    <w:rsid w:val="008B4272"/>
    <w:rsid w:val="008C796D"/>
    <w:rsid w:val="008D7F96"/>
    <w:rsid w:val="008E4BFE"/>
    <w:rsid w:val="008F372B"/>
    <w:rsid w:val="008F3A40"/>
    <w:rsid w:val="009035D1"/>
    <w:rsid w:val="00925135"/>
    <w:rsid w:val="0094662C"/>
    <w:rsid w:val="00954D33"/>
    <w:rsid w:val="00956A52"/>
    <w:rsid w:val="009600AF"/>
    <w:rsid w:val="0097014B"/>
    <w:rsid w:val="00971958"/>
    <w:rsid w:val="00973089"/>
    <w:rsid w:val="00973C3B"/>
    <w:rsid w:val="00974EC0"/>
    <w:rsid w:val="00997109"/>
    <w:rsid w:val="009A1D31"/>
    <w:rsid w:val="009A245C"/>
    <w:rsid w:val="009A5F1E"/>
    <w:rsid w:val="009C1F34"/>
    <w:rsid w:val="009D4488"/>
    <w:rsid w:val="009D5FC8"/>
    <w:rsid w:val="009E6BD8"/>
    <w:rsid w:val="00A0437E"/>
    <w:rsid w:val="00A051B4"/>
    <w:rsid w:val="00A22EB2"/>
    <w:rsid w:val="00A236AE"/>
    <w:rsid w:val="00A262F2"/>
    <w:rsid w:val="00A27939"/>
    <w:rsid w:val="00A31E21"/>
    <w:rsid w:val="00A360EB"/>
    <w:rsid w:val="00A438ED"/>
    <w:rsid w:val="00A451C3"/>
    <w:rsid w:val="00A464C6"/>
    <w:rsid w:val="00A569D1"/>
    <w:rsid w:val="00A625F1"/>
    <w:rsid w:val="00A63614"/>
    <w:rsid w:val="00A67525"/>
    <w:rsid w:val="00A67B4C"/>
    <w:rsid w:val="00A845D9"/>
    <w:rsid w:val="00AA00A8"/>
    <w:rsid w:val="00AA20F2"/>
    <w:rsid w:val="00AA242A"/>
    <w:rsid w:val="00AA6A70"/>
    <w:rsid w:val="00AB527B"/>
    <w:rsid w:val="00AB6575"/>
    <w:rsid w:val="00AB6F9B"/>
    <w:rsid w:val="00AC020F"/>
    <w:rsid w:val="00AC767E"/>
    <w:rsid w:val="00AE4C32"/>
    <w:rsid w:val="00AF6D33"/>
    <w:rsid w:val="00B06FEA"/>
    <w:rsid w:val="00B14075"/>
    <w:rsid w:val="00B14158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33CAE"/>
    <w:rsid w:val="00C45921"/>
    <w:rsid w:val="00C5085D"/>
    <w:rsid w:val="00C61477"/>
    <w:rsid w:val="00CA6597"/>
    <w:rsid w:val="00CB46E1"/>
    <w:rsid w:val="00CC0E01"/>
    <w:rsid w:val="00CE4D65"/>
    <w:rsid w:val="00CF2528"/>
    <w:rsid w:val="00CF7D33"/>
    <w:rsid w:val="00D04241"/>
    <w:rsid w:val="00D17278"/>
    <w:rsid w:val="00D44CDF"/>
    <w:rsid w:val="00D73656"/>
    <w:rsid w:val="00D800B1"/>
    <w:rsid w:val="00D92AEF"/>
    <w:rsid w:val="00D953FE"/>
    <w:rsid w:val="00DB188B"/>
    <w:rsid w:val="00DC5F4C"/>
    <w:rsid w:val="00DE3352"/>
    <w:rsid w:val="00DF3D63"/>
    <w:rsid w:val="00E00692"/>
    <w:rsid w:val="00E700DC"/>
    <w:rsid w:val="00E74C67"/>
    <w:rsid w:val="00E80D76"/>
    <w:rsid w:val="00E92886"/>
    <w:rsid w:val="00E969EF"/>
    <w:rsid w:val="00EA247C"/>
    <w:rsid w:val="00EB00CE"/>
    <w:rsid w:val="00EB372D"/>
    <w:rsid w:val="00EC5C0F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22BC4"/>
    <w:rsid w:val="00F27225"/>
    <w:rsid w:val="00F304C3"/>
    <w:rsid w:val="00F36C6A"/>
    <w:rsid w:val="00F43E87"/>
    <w:rsid w:val="00F4633C"/>
    <w:rsid w:val="00F62F76"/>
    <w:rsid w:val="00F667ED"/>
    <w:rsid w:val="00F72FBD"/>
    <w:rsid w:val="00F76A62"/>
    <w:rsid w:val="00F934AE"/>
    <w:rsid w:val="00FA24D9"/>
    <w:rsid w:val="00FA2F8E"/>
    <w:rsid w:val="00FA61B6"/>
    <w:rsid w:val="00FC7B73"/>
    <w:rsid w:val="00FF1889"/>
    <w:rsid w:val="00FF4FBD"/>
    <w:rsid w:val="00FF545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7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71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9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087267D81892EADC0796CA82B3446319067B0F49EA4C923BB92D1454605H" TargetMode="External"/><Relationship Id="rId13" Type="http://schemas.openxmlformats.org/officeDocument/2006/relationships/hyperlink" Target="consultantplus://offline/ref=187087267D81892EADC06761BE476B4D399A30BCF69BA89C7BE4C98C126C268B1C3B88410D38CEB335066C4304H" TargetMode="External"/><Relationship Id="rId18" Type="http://schemas.openxmlformats.org/officeDocument/2006/relationships/hyperlink" Target="consultantplus://offline/ref=187087267D81892EADC06761BE476B4D399A30BCF69BA89C7BE4C98C126C268B1C3B88410D38CEB33506684303H" TargetMode="External"/><Relationship Id="rId26" Type="http://schemas.openxmlformats.org/officeDocument/2006/relationships/hyperlink" Target="consultantplus://offline/ref=187087267D81892EADC0796CA82B3446319068B8F296A4C923BB92D145652CDC5B74D104440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7087267D81892EADC06761BE476B4D399A30BCF69BA89C7BE4C98C126C268B1C3B88410D38CEB33506684301H" TargetMode="External"/><Relationship Id="rId7" Type="http://schemas.openxmlformats.org/officeDocument/2006/relationships/hyperlink" Target="consultantplus://offline/ref=187087267D81892EADC0796CA82B344631936EB5F19AA4C923BB92D1454605H" TargetMode="External"/><Relationship Id="rId12" Type="http://schemas.openxmlformats.org/officeDocument/2006/relationships/hyperlink" Target="consultantplus://offline/ref=187087267D81892EADC06761BE476B4D399A30BCF69BA89C7BE4C98C126C268B1C3B88410D38CEB335066D4302H" TargetMode="External"/><Relationship Id="rId17" Type="http://schemas.openxmlformats.org/officeDocument/2006/relationships/hyperlink" Target="consultantplus://offline/ref=187087267D81892EADC06761BE476B4D399A30BCF69BA89C7BE4C98C126C268B1C3B88410D38CEB33506684306H" TargetMode="External"/><Relationship Id="rId25" Type="http://schemas.openxmlformats.org/officeDocument/2006/relationships/hyperlink" Target="consultantplus://offline/ref=187087267D81892EADC0796CA82B344631936DB8F599A4C923BB92D145460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7087267D81892EADC0796CA82B3446319068B7F69DA4C923BB92D1454605H" TargetMode="External"/><Relationship Id="rId20" Type="http://schemas.openxmlformats.org/officeDocument/2006/relationships/hyperlink" Target="consultantplus://offline/ref=187087267D81892EADC06761BE476B4D399A30BCF69BA89C7BE4C98C126C268B1C3B88410D38CEB3350668430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087267D81892EADC0796CA82B344631936AB5F49BA4C923BB92D1454605H" TargetMode="External"/><Relationship Id="rId11" Type="http://schemas.openxmlformats.org/officeDocument/2006/relationships/hyperlink" Target="consultantplus://offline/ref=187087267D81892EADC06761BE476B4D399A30BCF69BA89C7BE4C98C126C268B1C3B88410D38CEB335066C4304H" TargetMode="External"/><Relationship Id="rId24" Type="http://schemas.openxmlformats.org/officeDocument/2006/relationships/hyperlink" Target="consultantplus://offline/ref=187087267D81892EADC06761BE476B4D399A30BCF69BA89C7BE4C98C126C268B1C3B88410D38CEB3350668430DH" TargetMode="External"/><Relationship Id="rId5" Type="http://schemas.openxmlformats.org/officeDocument/2006/relationships/hyperlink" Target="consultantplus://offline/ref=187087267D81892EADC0796CA82B3446319068B8F296A4C923BB92D1454605H" TargetMode="External"/><Relationship Id="rId15" Type="http://schemas.openxmlformats.org/officeDocument/2006/relationships/hyperlink" Target="consultantplus://offline/ref=187087267D81892EADC0796CA82B3446319068B8F39AA4C923BB92D1454605H" TargetMode="External"/><Relationship Id="rId23" Type="http://schemas.openxmlformats.org/officeDocument/2006/relationships/hyperlink" Target="consultantplus://offline/ref=187087267D81892EADC06761BE476B4D399A30BCF69BA89C7BE4C98C126C268B1C3B88410D38CEB3350668430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87087267D81892EADC06761BE476B4D399A30BCF69BA89C7BE4C98C126C268B1C3B88410D38CEB335066C4304H" TargetMode="External"/><Relationship Id="rId19" Type="http://schemas.openxmlformats.org/officeDocument/2006/relationships/hyperlink" Target="consultantplus://offline/ref=187087267D81892EADC06761BE476B4D399A30BCF69BA89C7BE4C98C126C268B1C3B88410D38CEB33506684307H" TargetMode="External"/><Relationship Id="rId4" Type="http://schemas.openxmlformats.org/officeDocument/2006/relationships/hyperlink" Target="consultantplus://offline/ref=187087267D81892EADC0796CA82B344631936DB1F296A4C923BB92D1454605H" TargetMode="External"/><Relationship Id="rId9" Type="http://schemas.openxmlformats.org/officeDocument/2006/relationships/hyperlink" Target="consultantplus://offline/ref=187087267D81892EADC06761BE476B4D399A30BCF69DA79777E4C98C126C268B410CH" TargetMode="External"/><Relationship Id="rId14" Type="http://schemas.openxmlformats.org/officeDocument/2006/relationships/hyperlink" Target="consultantplus://offline/ref=187087267D81892EADC06761BE476B4D399A30BCF69BA89C7BE4C98C126C268B1C3B88410D38CEB335066B4304H" TargetMode="External"/><Relationship Id="rId22" Type="http://schemas.openxmlformats.org/officeDocument/2006/relationships/hyperlink" Target="consultantplus://offline/ref=187087267D81892EADC06761BE476B4D399A30BCF69BA89C7BE4C98C126C268B1C3B88410D38CEB3350668430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2052</Words>
  <Characters>11699</Characters>
  <Application>Microsoft Office Word</Application>
  <DocSecurity>0</DocSecurity>
  <Lines>97</Lines>
  <Paragraphs>27</Paragraphs>
  <ScaleCrop>false</ScaleCrop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2012-01-31T07:52:00Z</dcterms:created>
  <dcterms:modified xsi:type="dcterms:W3CDTF">2012-01-31T07:53:00Z</dcterms:modified>
</cp:coreProperties>
</file>