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 И ЦЕНООБРАЗОВАНИЮ</w:t>
      </w: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ЗАБАЙКАЛЬСКОГО КРАЯ</w:t>
      </w: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мая 2015 г. N 89</w:t>
      </w: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ПРИКАЗ РЕГИОНАЛЬНОЙ СЛУЖБЫ</w:t>
      </w: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И ЦЕНООБРАЗОВАНИЮ ЗАБАЙКАЛЬСКОГО КРАЯ</w:t>
      </w: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2014 ГОДА N 749</w:t>
      </w: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10.20 пункта 10 главы 2</w:t>
        </w:r>
      </w:hyperlink>
      <w:r>
        <w:rPr>
          <w:rFonts w:ascii="Calibri" w:hAnsi="Calibri" w:cs="Calibri"/>
        </w:rPr>
        <w:t xml:space="preserve"> Положения о Региональной службе по тарифам и ценообразованию Забайкальского края, утвержденного постановлением Правительства Забайкальского края от 24 апреля 2014 года N 229, в целях устранения допущенных технических ошибок приказываю:</w:t>
      </w: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Региональной службы по тарифам и ценообразованию Забайкальского края от 31 декабря 2014 года N 749 "Об установлении единых (котловых) тарифов на услуги по передаче электрической энергии по сетям на территории Забайкальского края на 2015 год" (с изменениями, внесенными приказами от 16 января 2015 года N 2, от 30 марта 2015 года N 57) изменение, изложив </w:t>
      </w:r>
      <w:hyperlink r:id="rId8" w:history="1">
        <w:r>
          <w:rPr>
            <w:rFonts w:ascii="Calibri" w:hAnsi="Calibri" w:cs="Calibri"/>
            <w:color w:val="0000FF"/>
          </w:rPr>
          <w:t>строку 1.1 таблицы 5</w:t>
        </w:r>
      </w:hyperlink>
      <w:r>
        <w:rPr>
          <w:rFonts w:ascii="Calibri" w:hAnsi="Calibri" w:cs="Calibri"/>
        </w:rPr>
        <w:t xml:space="preserve"> приложения в следующей редакции:</w:t>
      </w: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102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1163"/>
        <w:gridCol w:w="3061"/>
        <w:gridCol w:w="3601"/>
      </w:tblGrid>
      <w:tr w:rsidR="00161E95" w:rsidTr="00161E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E95" w:rsidRDefault="0016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E95" w:rsidRDefault="0016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электрических сетей </w:t>
            </w:r>
            <w:r w:rsidR="00EE6AB8">
              <w:rPr>
                <w:rFonts w:ascii="Calibri" w:hAnsi="Calibri" w:cs="Calibri"/>
                <w:position w:val="-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15pt;height:21.3pt">
                  <v:imagedata r:id="rId9" o:title=""/>
                </v:shape>
              </w:pic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E95" w:rsidRDefault="0016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 мес.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E95" w:rsidRDefault="00EE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2"/>
              </w:rPr>
              <w:pict>
                <v:shape id="_x0000_i1026" type="#_x0000_t75" style="width:118.35pt;height:15.65pt">
                  <v:imagedata r:id="rId10" o:title=""/>
                </v:shape>
              </w:pic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E95" w:rsidRDefault="00EE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2"/>
              </w:rPr>
              <w:pict>
                <v:shape id="_x0000_i1027" type="#_x0000_t75" style="width:159.05pt;height:15.65pt">
                  <v:imagedata r:id="rId11" o:title=""/>
                </v:shape>
              </w:pict>
            </w:r>
          </w:p>
        </w:tc>
      </w:tr>
    </w:tbl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Приказ вступает в силу через 10 дней после его официального опубликования и распространяется на правоотношения, возникшие с 1 апреля 2015 года.</w:t>
      </w: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В.И.ПАЗДНИКОВ</w:t>
      </w: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E95" w:rsidRDefault="0016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1E95" w:rsidRDefault="00161E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30FA6" w:rsidRDefault="00A30FA6"/>
    <w:sectPr w:rsidR="00A30FA6" w:rsidSect="00161E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95"/>
    <w:rsid w:val="00161E95"/>
    <w:rsid w:val="00A30FA6"/>
    <w:rsid w:val="00E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BDA523C4D82EC84933C5206B52C68CB29E6BA75B5AC466AABD39E42FE9C9C74A466EAE16E467C08A269A572j5I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BDA523C4D82EC84933C5206B52C68CB29E6BA75B5AC466AABD39E42FE9C9C74A4j6I6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BDA523C4D82EC84933C5206B52C68CB29E6BA75B5AC476DA6D49E42FE9C9C74A466EAE16E467C08A269AD7Fj5I7J" TargetMode="External"/><Relationship Id="rId11" Type="http://schemas.openxmlformats.org/officeDocument/2006/relationships/image" Target="media/image3.wmf"/><Relationship Id="rId5" Type="http://schemas.openxmlformats.org/officeDocument/2006/relationships/hyperlink" Target="http://www.consultant.ru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2015-06-16T13:32:00Z</dcterms:created>
  <dcterms:modified xsi:type="dcterms:W3CDTF">2015-06-16T13:32:00Z</dcterms:modified>
</cp:coreProperties>
</file>