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(ЛенРТК)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2013 г. N 196-п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ЭНЕРГИЮ,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ЛЕНИНГРАДСКОЙ ОБЛАСТИ, НА 2014 ГОД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 октября 2013 года N 185-э/1 "О предельных уровнях тарифов на электрическую энергию (мощность) на 2014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от 13 декабря 2013 года N 31 приказываю: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потребителей, на 2014 год согласно приложению.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2014 года по 31 декабря 2014 года.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с 1 января 2014 года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29 ноября 2012 года N 167-п "Об установлении тарифов на электрическую энергию, отпускаемую населению и приравненным к нему категориям потребителей Ленинградской области, на 2013 год".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в установленном порядке.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О.Э.Сибиряков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13.12.2013 N 196-п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ЦЕНЫ (ТАРИФЫ)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 ПО ЛЕНИНГРАДСКОЙ ОБЛАСТИ НА 2014 ГОД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┌──────┬───────────────────────────────┬──────────┬───────────┬───────────┐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N   │Показатель (группы потребителей│ Единица  │1 полугодие│2 полугодие│</w:t>
      </w:r>
      <w:proofErr w:type="gramEnd"/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с разбивкой по ставками    │измерения ├───────────┼───────────┤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│дифференциацией по зонам суток)│          │   Цена    │   </w:t>
      </w:r>
      <w:proofErr w:type="gramStart"/>
      <w:r>
        <w:rPr>
          <w:rFonts w:ascii="Courier New" w:hAnsi="Courier New" w:cs="Courier New"/>
          <w:sz w:val="20"/>
          <w:szCs w:val="20"/>
        </w:rPr>
        <w:t>Цена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│          │  (тариф)  │  (тариф)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2               │    3     │     4     │     5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5"/>
      <w:bookmarkEnd w:id="4"/>
      <w:r>
        <w:rPr>
          <w:rFonts w:ascii="Courier New" w:hAnsi="Courier New" w:cs="Courier New"/>
          <w:sz w:val="20"/>
          <w:szCs w:val="20"/>
        </w:rPr>
        <w:t>│  1.  │Население (тарифы указываются с учетом НДС)             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47"/>
      <w:bookmarkEnd w:id="5"/>
      <w:r>
        <w:rPr>
          <w:rFonts w:ascii="Courier New" w:hAnsi="Courier New" w:cs="Courier New"/>
          <w:sz w:val="20"/>
          <w:szCs w:val="20"/>
        </w:rPr>
        <w:t xml:space="preserve">│ 1.1. │Население, 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</w:t>
      </w:r>
      <w:hyperlink w:anchor="Par6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│1.1.1.│Одноставочный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│1.1.2.│Одноставочный тариф, дифференцированный по двум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3,17    │   3,37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│1.1.3.│Одноставочный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5,29    │   4,96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66"/>
      <w:bookmarkEnd w:id="6"/>
      <w:r>
        <w:rPr>
          <w:rFonts w:ascii="Courier New" w:hAnsi="Courier New" w:cs="Courier New"/>
          <w:sz w:val="20"/>
          <w:szCs w:val="20"/>
        </w:rPr>
        <w:t>│  2.  │Население, проживающее в городских населенных пунктах в домах,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установленном порядке стационарными электроплитами│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или) электроотопительными установками </w:t>
      </w:r>
      <w:hyperlink w:anchor="Par13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 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2.2. │Одноставочный тариф, дифференцированный по двум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2,22    │   2,36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2.3. │Одноставочный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3,70    │   3,47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87"/>
      <w:bookmarkEnd w:id="7"/>
      <w:r>
        <w:rPr>
          <w:rFonts w:ascii="Courier New" w:hAnsi="Courier New" w:cs="Courier New"/>
          <w:sz w:val="20"/>
          <w:szCs w:val="20"/>
        </w:rPr>
        <w:t xml:space="preserve">│  3.  │Население, проживающее в сельских населенных пунктах </w:t>
      </w:r>
      <w:hyperlink w:anchor="Par13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3.1. 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3.2. │Одноставочный тариф, дифференцированный по двум зонам суток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3026E9" w:rsidRDefault="00302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3.2.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2,22    │   2,36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3.3. │Одноставочный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3,70    │   3,47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2,20    │   2,29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1,07    │   1,14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10"/>
      <w:bookmarkEnd w:id="8"/>
      <w:r>
        <w:rPr>
          <w:rFonts w:ascii="Courier New" w:hAnsi="Courier New" w:cs="Courier New"/>
          <w:sz w:val="20"/>
          <w:szCs w:val="20"/>
        </w:rPr>
        <w:t>│  4.  │</w:t>
      </w:r>
      <w:proofErr w:type="gramStart"/>
      <w:r>
        <w:rPr>
          <w:rFonts w:ascii="Courier New" w:hAnsi="Courier New" w:cs="Courier New"/>
          <w:sz w:val="20"/>
          <w:szCs w:val="20"/>
        </w:rPr>
        <w:t>Потребители, приравненные к населению (тарифы указываются с учетом│</w:t>
      </w:r>
      <w:proofErr w:type="gramEnd"/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│НДС) </w:t>
      </w:r>
      <w:hyperlink w:anchor="Par13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│</w:t>
      </w:r>
      <w:proofErr w:type="gramEnd"/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4.1. │Одноставочный тариф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4.2. │ Одноставочный тариф, дифференцированный по двум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│Дневная зона (пиковая и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3,17    │   3,37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│полупиковая)                   │          │           │       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├──────┼───────────────────────────────┴──────────┴───────────┴───────────┤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4.3. │ Одноставочный тариф, дифференцированный по трем зонам суток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├───────────────────────────────┬──────────┬───────────┬───────────┤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│Пиковая зона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5,29    │   4,96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│Полупиковая зона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3,14    │   3,27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├───────────────────────────────┼──────────┼───────────┼───────────┤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│Ночная зона                    │руб./кВт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gramEnd"/>
      <w:r>
        <w:rPr>
          <w:rFonts w:ascii="Courier New" w:hAnsi="Courier New" w:cs="Courier New"/>
          <w:sz w:val="20"/>
          <w:szCs w:val="20"/>
        </w:rPr>
        <w:t>│   1,53    │   1,63    │</w:t>
      </w:r>
    </w:p>
    <w:p w:rsidR="003026E9" w:rsidRDefault="003026E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└──────┴───────────────────────────────┴──────────┴───────────┴───────────┘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 xml:space="preserve">&lt;2&gt; Тарифы на электрическую энергию (мощность), поставляемую населению, проживающему в городских населенных пунктах в домах, оборудованных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населению, проживающему в сельских населенных пунктах, определяются как произведение тарифов на электрическую энергию, поставляемую населению и приравненным к нему категориям потребителей,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и понижающего коэффициента 0,7, утвержденного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6 декабря 2013 года N 190-п.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4"/>
      <w:bookmarkEnd w:id="1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категории "Потребители, приравненные к населению"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 декабря 2011 года N 1178, относятся: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</w:t>
      </w:r>
      <w:r>
        <w:rPr>
          <w:rFonts w:ascii="Calibri" w:hAnsi="Calibri" w:cs="Calibri"/>
        </w:rPr>
        <w:lastRenderedPageBreak/>
        <w:t>огородничества и дачного хозяйства.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Содержащиеся за счет прихожан религиозные организации.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3026E9" w:rsidRDefault="00302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подпункты 1.2 и 1.3 в данном документе отсутствуют.</w:t>
      </w:r>
    </w:p>
    <w:p w:rsidR="003026E9" w:rsidRDefault="00302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Тарифы для </w:t>
      </w:r>
      <w:hyperlink w:anchor="Par47" w:history="1">
        <w:r>
          <w:rPr>
            <w:rFonts w:ascii="Calibri" w:hAnsi="Calibri" w:cs="Calibri"/>
            <w:color w:val="0000FF"/>
          </w:rPr>
          <w:t>подгрупп потребителей N 1.1</w:t>
        </w:r>
      </w:hyperlink>
      <w:r>
        <w:rPr>
          <w:rFonts w:ascii="Calibri" w:hAnsi="Calibri" w:cs="Calibri"/>
        </w:rPr>
        <w:t>, 1.2 и 1.3 установлены на электрическую энергию для коммунально-бытового потребления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>
        <w:rPr>
          <w:rFonts w:ascii="Calibri" w:hAnsi="Calibri" w:cs="Calibri"/>
        </w:rPr>
        <w:t xml:space="preserve"> помещения для социальной защиты отдельных категорий граждан, приобретающих электрическую энергию (мощность) для коммунально-бытового потребления населением в объемах фактического потребления населением и объемах электроэнергии, израсходованной на места общего пользования,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электроотопительными установками, рассчитываются по тарифам подгруппы потребителей N 1.2.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&lt;6&gt; Сельские населенные пункты, рассчитывающиеся по общему счетчику на вводе,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</w:r>
      <w:proofErr w:type="gramEnd"/>
      <w:r>
        <w:rPr>
          <w:rFonts w:ascii="Calibri" w:hAnsi="Calibri" w:cs="Calibri"/>
        </w:rPr>
        <w:t xml:space="preserve">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приобретающих электроэнергию для коммунально-бытового потребления, граждан, проживающих в сельских населенных пунктах, в объемах фактического потребления потребителями-гражданами и объемах электроэнергии, израсходованной на места общего пользования, рассчитываются по тарифам подгруппы </w:t>
      </w:r>
      <w:r>
        <w:rPr>
          <w:rFonts w:ascii="Calibri" w:hAnsi="Calibri" w:cs="Calibri"/>
        </w:rPr>
        <w:lastRenderedPageBreak/>
        <w:t>потребителей N 1.3.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&lt;7&gt; Тарифы распространяются на электрическую энергию, соответствующую </w:t>
      </w:r>
      <w:hyperlink r:id="rId13" w:history="1">
        <w:r>
          <w:rPr>
            <w:rFonts w:ascii="Calibri" w:hAnsi="Calibri" w:cs="Calibri"/>
            <w:color w:val="0000FF"/>
          </w:rPr>
          <w:t>ГОСТу 13109-97</w:t>
        </w:r>
      </w:hyperlink>
      <w:r>
        <w:rPr>
          <w:rFonts w:ascii="Calibri" w:hAnsi="Calibri" w:cs="Calibri"/>
        </w:rP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назначения".</w:t>
      </w: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E9" w:rsidRDefault="003026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6E9" w:rsidRDefault="003026E9">
      <w:bookmarkStart w:id="12" w:name="_GoBack"/>
      <w:bookmarkEnd w:id="12"/>
    </w:p>
    <w:sectPr w:rsidR="003026E9" w:rsidSect="00C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9"/>
    <w:rsid w:val="003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93EF173424A07D952D29FB8CF17BD47661ABFF8AE1B2C773D5BBCD0E5y8H" TargetMode="External"/><Relationship Id="rId13" Type="http://schemas.openxmlformats.org/officeDocument/2006/relationships/hyperlink" Target="consultantplus://offline/ref=B1F93EF173424A07D952CD8ABDCF17BD40621FB8F7FC4C2E266855EBy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93EF173424A07D952D29FB8CF17BD47661ABAF9AB1B2C773D5BBCD0E5y8H" TargetMode="External"/><Relationship Id="rId12" Type="http://schemas.openxmlformats.org/officeDocument/2006/relationships/hyperlink" Target="consultantplus://offline/ref=B1F93EF173424A07D952D29FB8CF17BD476619BCFEA31B2C773D5BBCD058B8674DDE45074F919FEEEFy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93EF173424A07D952D29FB8CF17BD476619BCFEA31B2C773D5BBCD058B8674DDE45074F919CEAEFyCH" TargetMode="External"/><Relationship Id="rId11" Type="http://schemas.openxmlformats.org/officeDocument/2006/relationships/hyperlink" Target="consultantplus://offline/ref=B1F93EF173424A07D952CD8EADCF17BD47671CBCFFA31B2C773D5BBCD0E5y8H" TargetMode="External"/><Relationship Id="rId5" Type="http://schemas.openxmlformats.org/officeDocument/2006/relationships/hyperlink" Target="consultantplus://offline/ref=B1F93EF173424A07D952D29FB8CF17BD47661AB7FDAA1B2C773D5BBCD0E5y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F93EF173424A07D952CD8EADCF17BD476117BCFEAB1B2C773D5BBCD0E5y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93EF173424A07D952CD8EADCF17BD476016BAF5A91B2C773D5BBCD058B8674DDE45074F9198EEEF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2014-02-17T07:50:00Z</dcterms:created>
  <dcterms:modified xsi:type="dcterms:W3CDTF">2014-02-17T07:51:00Z</dcterms:modified>
</cp:coreProperties>
</file>