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1" w:rsidRDefault="00D2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4C1" w:rsidRDefault="00D234C1">
      <w:pPr>
        <w:pStyle w:val="ConsPlusTitle"/>
        <w:widowControl/>
        <w:jc w:val="center"/>
        <w:outlineLvl w:val="0"/>
      </w:pPr>
      <w:r>
        <w:t>УПРАВЛЕНИЕ ПО ТАРИФНОМУ РЕГУЛИРОВАНИЮ МУРМАНСКОЙ ОБЛАСТИ</w:t>
      </w:r>
    </w:p>
    <w:p w:rsidR="00D234C1" w:rsidRDefault="00D234C1">
      <w:pPr>
        <w:pStyle w:val="ConsPlusTitle"/>
        <w:widowControl/>
        <w:jc w:val="center"/>
      </w:pPr>
    </w:p>
    <w:p w:rsidR="00D234C1" w:rsidRDefault="00D234C1">
      <w:pPr>
        <w:pStyle w:val="ConsPlusTitle"/>
        <w:widowControl/>
        <w:jc w:val="center"/>
      </w:pPr>
      <w:r>
        <w:t>ПОСТАНОВЛЕНИЕ</w:t>
      </w:r>
    </w:p>
    <w:p w:rsidR="00D234C1" w:rsidRDefault="00D234C1">
      <w:pPr>
        <w:pStyle w:val="ConsPlusTitle"/>
        <w:widowControl/>
        <w:jc w:val="center"/>
      </w:pPr>
      <w:r>
        <w:t>от 16 ноября 2011 г. N 50/1</w:t>
      </w:r>
    </w:p>
    <w:p w:rsidR="00D234C1" w:rsidRDefault="00D234C1">
      <w:pPr>
        <w:pStyle w:val="ConsPlusTitle"/>
        <w:widowControl/>
        <w:jc w:val="center"/>
      </w:pPr>
    </w:p>
    <w:p w:rsidR="00D234C1" w:rsidRDefault="00D234C1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D234C1" w:rsidRDefault="00D234C1">
      <w:pPr>
        <w:pStyle w:val="ConsPlusTitle"/>
        <w:widowControl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D234C1" w:rsidRDefault="00D234C1">
      <w:pPr>
        <w:pStyle w:val="ConsPlusTitle"/>
        <w:widowControl/>
        <w:jc w:val="center"/>
      </w:pPr>
      <w:r>
        <w:t>ПОТРЕБИТЕЛЕЙ, ПО МУРМАНСКОЙ ОБЛАСТИ НА 2012 ГОД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307 "О порядке предоставления коммунальных услуг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гражданам",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06.10.2011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</w:t>
      </w:r>
      <w:hyperlink r:id="rId1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</w:t>
      </w:r>
      <w:proofErr w:type="gramEnd"/>
      <w:r>
        <w:rPr>
          <w:rFonts w:ascii="Calibri" w:hAnsi="Calibri" w:cs="Calibri"/>
        </w:rPr>
        <w:t xml:space="preserve"> регулируемых тарифов и цен на электрическую (тепловую) энергию на розничном (потребительском) рынке,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приказом Федеральной службы по тарифам от 06.08.2004 N 20-Э/2, и на основании решения коллегии Управления по тарифному регулированию Мурманской области (протокол от 16.11.2011), Управление по тарифному регулированию Мурманской области постановляет: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по Мурманской области с календарной разбивкой согласно приложению.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в установленном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действует с 1 января по 31 декабря 2012 года.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А.ТРОФИМОВ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234C1" w:rsidSect="00325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ноября 2011 г. N 50/1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34C1" w:rsidRDefault="00D234C1">
      <w:pPr>
        <w:pStyle w:val="ConsPlusTitle"/>
        <w:widowControl/>
        <w:jc w:val="center"/>
      </w:pPr>
      <w:r>
        <w:t>ЦЕНЫ (ТАРИФЫ)</w:t>
      </w:r>
    </w:p>
    <w:p w:rsidR="00D234C1" w:rsidRDefault="00D234C1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D234C1" w:rsidRDefault="00D234C1">
      <w:pPr>
        <w:pStyle w:val="ConsPlusTitle"/>
        <w:widowControl/>
        <w:jc w:val="center"/>
      </w:pPr>
      <w:r>
        <w:t>К НЕМУ КАТЕГОРИЙ ПОТРЕБИТЕЛЕЙ ПО МУРМАНСКОЙ ОБЛАСТИ</w:t>
      </w:r>
    </w:p>
    <w:p w:rsidR="00D234C1" w:rsidRDefault="00D234C1">
      <w:pPr>
        <w:pStyle w:val="ConsPlusTitle"/>
        <w:widowControl/>
        <w:jc w:val="center"/>
      </w:pPr>
      <w:r>
        <w:t>НА 2012 ГОД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26"/>
        <w:gridCol w:w="1485"/>
        <w:gridCol w:w="1620"/>
        <w:gridCol w:w="1701"/>
      </w:tblGrid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Показатель (группы потребителей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1 января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 июня 2012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1 июля по 31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 2012 г.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 (тарифы указываются с учетом НДС)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0,81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3,70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0,81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Население, проживающее в городских населенных пунктах в домах,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установленном порядке стационарными электроплитами и (или)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электроотопительными установками &lt;1&gt;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1,834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0,567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2,590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0,567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Население, проживающее в сельских населенных пунктах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1,834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0,567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2,590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1,414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0,567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Потребители, приравненные к населению (тарифы указываются с учетом НДС) &lt;2&gt;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0,81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8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3,70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2,02</w:t>
            </w:r>
          </w:p>
        </w:tc>
      </w:tr>
      <w:tr w:rsidR="00D234C1" w:rsidTr="00D234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C1" w:rsidRDefault="00D234C1" w:rsidP="00D23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0,81</w:t>
            </w:r>
          </w:p>
        </w:tc>
      </w:tr>
    </w:tbl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234C1" w:rsidSect="00D234C1">
          <w:pgSz w:w="11905" w:h="16838" w:code="9"/>
          <w:pgMar w:top="851" w:right="1701" w:bottom="709" w:left="1134" w:header="720" w:footer="720" w:gutter="0"/>
          <w:cols w:space="720"/>
          <w:docGrid w:linePitch="299"/>
        </w:sectPr>
      </w:pP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 к приложению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Тарифы на электрическую энергию, установленные </w:t>
      </w:r>
      <w:hyperlink r:id="rId13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распространяется также на население, проживающее в многоквартирных жилых домах, не оборудованных газовыми плитами.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Перечень категорий потребителей, которые приравнены к населению и которым электрическая энергию (мощность) поставляется по регулируемым ценам (тарифам):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4C1" w:rsidRDefault="00D2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4C1" w:rsidRDefault="00D234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4C1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168BB"/>
    <w:rsid w:val="00416C93"/>
    <w:rsid w:val="004238F5"/>
    <w:rsid w:val="004322FF"/>
    <w:rsid w:val="00434573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234C1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3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B309822F45B3D7582B745E69EDA2B1BE6EA2330C15311AD61CB648B5DE241FE9E8198B2074B7r470L" TargetMode="External"/><Relationship Id="rId13" Type="http://schemas.openxmlformats.org/officeDocument/2006/relationships/hyperlink" Target="consultantplus://offline/ref=71D6B309822F45B3D75835794805B3A7B7B730AB300C1660458947EB1FBCD47358A6B15BCF2D75B3465A05rC7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6B309822F45B3D7582B745E69EDA2B1BD6AA4350815311AD61CB648rB75L" TargetMode="External"/><Relationship Id="rId12" Type="http://schemas.openxmlformats.org/officeDocument/2006/relationships/hyperlink" Target="consultantplus://offline/ref=71D6B309822F45B3D75835794805B3A7B7B730AB310C1D60428947EB1FBCD47358A6B15BCF2D75B3465A04rC7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6B309822F45B3D7582B745E69EDA2B2BB6AA43A03483B128F10B4r47FL" TargetMode="External"/><Relationship Id="rId11" Type="http://schemas.openxmlformats.org/officeDocument/2006/relationships/hyperlink" Target="consultantplus://offline/ref=71D6B309822F45B3D75835794805B3A7B7B730AB300C1660458947EB1FBCD47358A6B15BCF2D75B3465A07rC7AL" TargetMode="External"/><Relationship Id="rId5" Type="http://schemas.openxmlformats.org/officeDocument/2006/relationships/hyperlink" Target="consultantplus://offline/ref=71D6B309822F45B3D7582B745E69EDA2B1BD68AF300015311AD61CB648B5DE241FE9E81Ar87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D6B309822F45B3D7582B745E69EDA2B1BE6AA2360D15311AD61CB648B5DE241FE9E8198B2074B2r477L" TargetMode="External"/><Relationship Id="rId4" Type="http://schemas.openxmlformats.org/officeDocument/2006/relationships/hyperlink" Target="consultantplus://offline/ref=71D6B309822F45B3D7582B745E69EDA2B1BE6DA6300015311AD61CB648rB75L" TargetMode="External"/><Relationship Id="rId9" Type="http://schemas.openxmlformats.org/officeDocument/2006/relationships/hyperlink" Target="consultantplus://offline/ref=71D6B309822F45B3D7582B745E69EDA2B1BD68AF310C15311AD61CB648rB7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2012-01-16T11:59:00Z</dcterms:created>
  <dcterms:modified xsi:type="dcterms:W3CDTF">2012-01-16T12:01:00Z</dcterms:modified>
</cp:coreProperties>
</file>