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AA" w:rsidRDefault="005D2DAA">
      <w:pPr>
        <w:widowControl w:val="0"/>
        <w:autoSpaceDE w:val="0"/>
        <w:autoSpaceDN w:val="0"/>
        <w:adjustRightInd w:val="0"/>
        <w:jc w:val="both"/>
        <w:outlineLvl w:val="0"/>
      </w:pPr>
    </w:p>
    <w:p w:rsidR="005D2DAA" w:rsidRDefault="005D2D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УПРАВЛЕНИЕ ПО ТАРИФНОМУ РЕГУЛИРОВАНИЮ МУРМАНСКОЙ ОБЛАСТИ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 июня 2013 г. N 21/1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ПРИЛОЖЕНИЕ К ПОСТАНОВЛЕНИЮ УПРАВЛЕНИЯ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ТАРИФНОМУ РЕГУЛИРОВАНИЮ МУРМАНСКОЙ ОБЛАСТИ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28.11.2012 N 52/1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 исполнение поручений Президента Российской Федерации Путина В.В. от 29.04.2013 N ПР-967, Правительства Российской Федерации от 01.03.2013 N ДК-П9-1327 и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Управление по тарифному регулированию Мурманской области постановляет: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Управления по тарифному регулированию Мурманской области от 28.11.2012 N 52/1 "Об установлении тарифов на электрическую энергию, поставляемую населению и приравненным к нему категориям потребителей, по Мурманской области на 2013 год", изложив его в </w:t>
      </w:r>
      <w:hyperlink w:anchor="Par35" w:history="1">
        <w:r>
          <w:rPr>
            <w:color w:val="0000FF"/>
          </w:rPr>
          <w:t>редакции</w:t>
        </w:r>
      </w:hyperlink>
      <w:r>
        <w:t xml:space="preserve"> приложения к настоящему постановлению.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 1 июля 2013 года.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Начальник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В.ГУБИНСКИЙ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от 28 июня 2013 г. N 21/1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5D2DAA" w:rsidRDefault="005D2DAA">
      <w:pPr>
        <w:widowControl w:val="0"/>
        <w:autoSpaceDE w:val="0"/>
        <w:autoSpaceDN w:val="0"/>
        <w:adjustRightInd w:val="0"/>
        <w:jc w:val="right"/>
      </w:pPr>
      <w:r>
        <w:t>от 28 ноября 2012 г. N 52/1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ЦЕНЫ (ТАРИФЫ)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ЭЛЕКТРИЧЕСКУЮ ЭНЕРГИЮ ДЛЯ НАСЕЛЕНИЯ И </w:t>
      </w:r>
      <w:proofErr w:type="gramStart"/>
      <w:r>
        <w:rPr>
          <w:b/>
          <w:bCs/>
        </w:rPr>
        <w:t>ПРИРАВНЕННЫХ</w:t>
      </w:r>
      <w:proofErr w:type="gramEnd"/>
      <w:r>
        <w:rPr>
          <w:b/>
          <w:bCs/>
        </w:rPr>
        <w:t xml:space="preserve"> К НЕМУ</w:t>
      </w:r>
    </w:p>
    <w:p w:rsidR="005D2DAA" w:rsidRDefault="005D2D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КАТЕГОРИЙ ПОТРЕБИТЕЛЕЙ ПО МУРМАНСКОЙ ОБЛАСТИ НА 2013 ГОД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220"/>
        <w:gridCol w:w="4290"/>
        <w:gridCol w:w="1320"/>
        <w:gridCol w:w="1760"/>
        <w:gridCol w:w="1540"/>
      </w:tblGrid>
      <w:tr w:rsidR="005D2DA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(группы потребителей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разбивкой по ставкам и дифференциацией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по зонам суток)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Цена (тариф)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 января по 30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июня 2013 г.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Цена (тариф)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1 июля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31 декабря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2013 г.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" w:name="Par47"/>
            <w:bookmarkEnd w:id="1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указываются с учетом НДС)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1.3</w:t>
              </w:r>
            </w:hyperlink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2,02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2,34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Дневная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2,62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3,04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0,81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0,94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3,7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4,29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2,02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2,34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0,81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0,94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67"/>
            <w:bookmarkEnd w:id="2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городских населенных пунктах в домах, оборудованных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установленном порядке стационарными электроплитами и (или)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электроотопительными установками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1,414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1,638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Дневная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1,834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2,125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0,567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0,657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1.2.3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2,59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3,000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1,414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1,638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0,567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0,657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87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сельских населенных пунктах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1,414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1,638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Дневная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1,834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2,125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0,567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0,657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1.3.3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2,59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3,000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1,414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1,638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0,567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0,657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105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приравненные к населению (тарифы указываются с учетом НДС) </w:t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2,02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2,34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Дневная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2,62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3,04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0,81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0,94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2.3 </w:t>
            </w:r>
          </w:p>
        </w:tc>
        <w:tc>
          <w:tcPr>
            <w:tcW w:w="9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          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3,7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4,29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2,02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2,34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0,81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0,94</w:t>
            </w:r>
          </w:p>
        </w:tc>
      </w:tr>
      <w:tr w:rsidR="005D2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A" w:rsidRDefault="005D2D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 к приложению: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5"/>
      <w:bookmarkEnd w:id="5"/>
      <w:r>
        <w:t xml:space="preserve">1. Тарифы на электрическую энергию, установленные в </w:t>
      </w:r>
      <w:hyperlink w:anchor="Par47" w:history="1">
        <w:r>
          <w:rPr>
            <w:color w:val="0000FF"/>
          </w:rPr>
          <w:t>пункте 1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наймодателей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8"/>
      <w:bookmarkEnd w:id="6"/>
      <w:r>
        <w:t xml:space="preserve">2.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71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</w:r>
      <w:hyperlink w:anchor="Par67" w:history="1">
        <w:r>
          <w:rPr>
            <w:color w:val="0000FF"/>
          </w:rPr>
          <w:t>пункт 1.2</w:t>
        </w:r>
      </w:hyperlink>
      <w:r>
        <w:t xml:space="preserve"> приложения), установлены с применением понижающего коэффициента в размере 0,7.</w:t>
      </w:r>
      <w:proofErr w:type="gramEnd"/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</w:r>
      <w:hyperlink w:anchor="Par67" w:history="1">
        <w:r>
          <w:rPr>
            <w:color w:val="0000FF"/>
          </w:rPr>
          <w:t>пункт 1.2</w:t>
        </w:r>
      </w:hyperlink>
      <w:r>
        <w:t xml:space="preserve"> приложения), распространяются также на население, проживающее в многокварт</w:t>
      </w:r>
      <w:bookmarkStart w:id="7" w:name="_GoBack"/>
      <w:bookmarkEnd w:id="7"/>
      <w:r>
        <w:t>ирных жилых домах, не оборудованных газовыми плитами.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0"/>
      <w:bookmarkEnd w:id="8"/>
      <w:r>
        <w:t xml:space="preserve">3. Тарифы на электрическую энергию, установленные в </w:t>
      </w:r>
      <w:hyperlink w:anchor="Par105" w:history="1">
        <w:r>
          <w:rPr>
            <w:color w:val="0000FF"/>
          </w:rPr>
          <w:t>пункте 2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юридических лиц,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юридических и физических лиц, в части приобретаемого объема электрической энергии (мощности) в целях потребления на коммунально-бытовые нужды в населенных </w:t>
      </w:r>
      <w:r>
        <w:lastRenderedPageBreak/>
        <w:t>пунктах, жилых зонах при воинских частях, рассчитывающихся по договору энергоснабжения (купли-продажи) по общему счетчику;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содержащихся за счет прихожан религиозных организаций;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5D2DAA" w:rsidRDefault="005D2DAA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некоммерческих объединений граждан (гаражно-строительные, гаражные кооперативы), и граждан, которым принадлежат отдельно стоящие гаражи,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autoSpaceDE w:val="0"/>
        <w:autoSpaceDN w:val="0"/>
        <w:adjustRightInd w:val="0"/>
        <w:jc w:val="both"/>
      </w:pPr>
    </w:p>
    <w:p w:rsidR="005D2DAA" w:rsidRDefault="005D2D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FB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A"/>
    <w:rsid w:val="001E7972"/>
    <w:rsid w:val="002A5AF0"/>
    <w:rsid w:val="004511EA"/>
    <w:rsid w:val="004812F7"/>
    <w:rsid w:val="004C209F"/>
    <w:rsid w:val="00513424"/>
    <w:rsid w:val="005D2DAA"/>
    <w:rsid w:val="0091775E"/>
    <w:rsid w:val="00BC02D9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2D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2D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D4D6DD5E857FDDB746A432DB19792F2358B9F488077DD256E04E7FBB9103FD5F5C8DC187B212E2J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D4D6DD5E857FDDB758A924B7477C292C0EB5F685042D8D09BB1328B29B54BA1005CF858AB71626C0A2EAJ5M" TargetMode="External"/><Relationship Id="rId5" Type="http://schemas.openxmlformats.org/officeDocument/2006/relationships/hyperlink" Target="consultantplus://offline/ref=17FBD4D6DD5E857FDDB758A924B7477C292C0EB5F18D0E2A8C09BB1328B29B54BA1005CF858AB71626C1A7EAJ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2013-07-22T12:09:00Z</dcterms:created>
  <dcterms:modified xsi:type="dcterms:W3CDTF">2013-07-22T12:09:00Z</dcterms:modified>
</cp:coreProperties>
</file>