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ТАРИФНОМУ РЕГУЛИРОВАНИЮ МУРМАНСКОЙ ОБЛАСТИ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62/39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ДЛЯ ПОТРЕБИТЕЛЕЙ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МУРМАНСКОЙ ОБЛАСТИ НА 2015 ГОД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Управления по тарифному регулированию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 от 16.01.2015 N 3/1)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приказами Федеральной службы по тарифам от 06.08.2004 </w:t>
      </w:r>
      <w:hyperlink r:id="rId8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17.02.2012 </w:t>
      </w:r>
      <w:hyperlink r:id="rId9" w:history="1">
        <w:r>
          <w:rPr>
            <w:rFonts w:ascii="Calibri" w:hAnsi="Calibri" w:cs="Calibri"/>
            <w:color w:val="0000FF"/>
          </w:rPr>
          <w:t>N 98-Э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от 28.03.2013 </w:t>
      </w:r>
      <w:hyperlink r:id="rId10" w:history="1">
        <w:r>
          <w:rPr>
            <w:rFonts w:ascii="Calibri" w:hAnsi="Calibri" w:cs="Calibri"/>
            <w:color w:val="0000FF"/>
          </w:rPr>
          <w:t>N 313-Э</w:t>
        </w:r>
      </w:hyperlink>
      <w:r>
        <w:rPr>
          <w:rFonts w:ascii="Calibri" w:hAnsi="Calibri" w:cs="Calibri"/>
        </w:rP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от 27.06.2014 N 170-Э/1 "Об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2015 год",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Мурманской области от 15.07.2009 N 311-ПП "Об утверждении Положения об Управлении по тарифному регулированию Мурманской области" и на основании решения коллегии Управления по тарифному регулированию Мурманской области (протокол от 16 декабря 2014 года и 19 декабря 2014 года), Управление по тарифному регулированию Мурманской области постановляет: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1. Установить единые (котловые) </w:t>
      </w:r>
      <w:hyperlink w:anchor="Par3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для потребителей Мурманской области на 2015 год согласно приложению.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w:anchor="Par1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1 января 2015 года по 31 декабря 2015 года с календарной разбивкой по полугодиям.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Настоящее постановление вступает в силу в установленном </w:t>
      </w:r>
      <w:hyperlink r:id="rId1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начальника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В.ГУБИНСКИЙ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тарифному регулированию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г. N 62/39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МУРМАНСКОЙ ОБЛАСТИ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_GoBack"/>
      <w:bookmarkEnd w:id="4"/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Управления по тарифному регулированию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Мурманской области от 16.01.2015 N 3/1)</w:t>
      </w: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B0569" w:rsidSect="00CB0569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795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9"/>
        <w:gridCol w:w="1417"/>
        <w:gridCol w:w="1193"/>
        <w:gridCol w:w="1276"/>
        <w:gridCol w:w="1276"/>
        <w:gridCol w:w="1275"/>
        <w:gridCol w:w="1134"/>
        <w:gridCol w:w="1276"/>
        <w:gridCol w:w="1134"/>
        <w:gridCol w:w="1276"/>
      </w:tblGrid>
      <w:tr w:rsidR="00CB0569" w:rsidTr="00CB05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B0569" w:rsidTr="00CB05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 &lt;2&gt;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 &lt;2&gt;</w:t>
            </w:r>
          </w:p>
        </w:tc>
      </w:tr>
      <w:tr w:rsidR="00CB0569" w:rsidTr="00CB05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1,49265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2,55858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205,72833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613,38408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665,47100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880,10929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236,89690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660,27594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869,77149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836,10383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0,16909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с учетом НДС) &lt;4&gt;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0,78130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0,81409</w:t>
            </w:r>
          </w:p>
        </w:tc>
      </w:tr>
      <w:tr w:rsidR="00CB0569" w:rsidTr="00CB0569"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B0569" w:rsidTr="00CB0569"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CB0569" w:rsidTr="00CB0569"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923587,00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835968,73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&lt;1&gt;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"Кольская ГМК"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18542,64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"Апатит"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42039,72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"СУАЛ" (филиал "КАЗ - СУАЛ")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331,14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"Автоколонна 1118"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853,18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"Мурманский морской рыбный порт"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18748,84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Гимея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4178,85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"СЕВМОРНЕФТЕГЕОФИЗИКА"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154,11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"Российские железные дороги" (филиал Октябрьская железная дорога)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28586,09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"ЦС "Звездочка" (филиал "35 СРЗ")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2939,57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Мурманск"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1255,22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Индивидуальный предприниматель </w:t>
            </w:r>
            <w:proofErr w:type="spellStart"/>
            <w:r>
              <w:rPr>
                <w:rFonts w:ascii="Calibri" w:hAnsi="Calibri" w:cs="Calibri"/>
              </w:rPr>
              <w:t>Рейзвих</w:t>
            </w:r>
            <w:proofErr w:type="spellEnd"/>
            <w:r>
              <w:rPr>
                <w:rFonts w:ascii="Calibri" w:hAnsi="Calibri" w:cs="Calibri"/>
              </w:rPr>
              <w:t xml:space="preserve"> Андрей </w:t>
            </w:r>
            <w:proofErr w:type="spellStart"/>
            <w:r>
              <w:rPr>
                <w:rFonts w:ascii="Calibri" w:hAnsi="Calibri" w:cs="Calibri"/>
              </w:rPr>
              <w:t>Кокарович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285,71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"Мурманский морской торговый порт"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1888,49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"82 Судоремонтный завод"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280,85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"Мурманский комбинат хлебопродуктов"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478,47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"ЦС Звездочка" (филиал "СРЗ "Нерпа")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346,76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ПГИ КНЦ РАН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571,91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"Сервис"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4956,97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"Городские сети"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1224,29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Сатка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1509,38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"Гольфстрим-</w:t>
            </w:r>
            <w:proofErr w:type="spellStart"/>
            <w:r>
              <w:rPr>
                <w:rFonts w:ascii="Calibri" w:hAnsi="Calibri" w:cs="Calibri"/>
              </w:rPr>
              <w:t>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3531,64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ИнвестПроектЛимитед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2080,48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"Кольский")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628239,74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"Кировская городская электрическая сеть"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46481,89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УМПП "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 ЗАТО Александровск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12962,05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"Городская электрическая сеть" ЗАТО Островной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58337,32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Мурманэнергосбыт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138382,01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"ПКФ Завод </w:t>
            </w:r>
            <w:proofErr w:type="spellStart"/>
            <w:r>
              <w:rPr>
                <w:rFonts w:ascii="Calibri" w:hAnsi="Calibri" w:cs="Calibri"/>
              </w:rPr>
              <w:t>Ремстроймаш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986,53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"Мурманская областная электросетевая компания"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503892,46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"АЭСК"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58833,37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Мончегорские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81206,92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"Просвет"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17965,28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"Мурманская судоверфь-Энергосеть"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29568,78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Северо-Запада" "Колэнерго"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4769375,73</w:t>
            </w:r>
          </w:p>
        </w:tc>
      </w:tr>
      <w:tr w:rsidR="00CB0569" w:rsidTr="00CB05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ПрофСервис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150,39</w:t>
            </w:r>
          </w:p>
        </w:tc>
      </w:tr>
      <w:tr w:rsidR="00CB0569" w:rsidTr="00CB0569"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69" w:rsidRDefault="00CB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6481166,78</w:t>
            </w:r>
          </w:p>
        </w:tc>
      </w:tr>
    </w:tbl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569" w:rsidRDefault="00CB0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0569" w:rsidRDefault="00CB05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821F4" w:rsidRDefault="001821F4"/>
    <w:sectPr w:rsidR="001821F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69"/>
    <w:rsid w:val="001821F4"/>
    <w:rsid w:val="00C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BF064-0B16-4E6C-B515-77F61649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939B0C9BCF41F9EED392421E9B2DB128E1ED7022222EE861ACCC9B6pCd5I" TargetMode="External"/><Relationship Id="rId13" Type="http://schemas.openxmlformats.org/officeDocument/2006/relationships/hyperlink" Target="consultantplus://offline/ref=6FE939B0C9BCF41F9EED27293785ECDE148342DE05242BBCDB459794E1CC207B59807BF685C6A6CDC068D4p2d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E939B0C9BCF41F9EED392421E9B2DB128F1CD7032422EE861ACCC9B6C52A2C1ECF22B4C1CBA3CDpCd5I" TargetMode="External"/><Relationship Id="rId12" Type="http://schemas.openxmlformats.org/officeDocument/2006/relationships/hyperlink" Target="consultantplus://offline/ref=6FE939B0C9BCF41F9EED27293785ECDE148342DE052529B9D2459794E1CC207B59807BF685C6A6CDC068D7p2d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939B0C9BCF41F9EED392421E9B2DB128E15DB002922EE861ACCC9B6C52A2C1ECF22B4C1CAA5CDpCd0I" TargetMode="External"/><Relationship Id="rId11" Type="http://schemas.openxmlformats.org/officeDocument/2006/relationships/hyperlink" Target="consultantplus://offline/ref=6FE939B0C9BCF41F9EED27293785ECDE148342DE052020BAD2459794E1CC207B59807BF685C6A6CDC069D2p2d7I" TargetMode="External"/><Relationship Id="rId5" Type="http://schemas.openxmlformats.org/officeDocument/2006/relationships/hyperlink" Target="consultantplus://offline/ref=6FE939B0C9BCF41F9EED27293785ECDE148342DE05242BBCDB459794E1CC207B59807BF685C6A6CDC068D4p2d2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E939B0C9BCF41F9EED392421E9B2DB128E1CDB042522EE861ACCC9B6pCd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E939B0C9BCF41F9EED392421E9B2DB128A1ADA042022EE861ACCC9B6pCd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2015-03-11T08:29:00Z</dcterms:created>
  <dcterms:modified xsi:type="dcterms:W3CDTF">2015-03-11T08:31:00Z</dcterms:modified>
</cp:coreProperties>
</file>