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4F" w:rsidRDefault="00407A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7A4F" w:rsidRDefault="00407A4F">
      <w:pPr>
        <w:pStyle w:val="ConsPlusTitle"/>
        <w:widowControl/>
        <w:jc w:val="center"/>
        <w:outlineLvl w:val="0"/>
      </w:pPr>
      <w:r>
        <w:t>КОМИТЕТ</w:t>
      </w:r>
    </w:p>
    <w:p w:rsidR="00407A4F" w:rsidRDefault="00407A4F">
      <w:pPr>
        <w:pStyle w:val="ConsPlusTitle"/>
        <w:widowControl/>
        <w:jc w:val="center"/>
      </w:pPr>
      <w:r>
        <w:t>ГОСУДАРСТВЕННОГО РЕГУЛИРОВАНИЯ ТАРИФОВ</w:t>
      </w:r>
    </w:p>
    <w:p w:rsidR="00407A4F" w:rsidRDefault="00407A4F">
      <w:pPr>
        <w:pStyle w:val="ConsPlusTitle"/>
        <w:widowControl/>
        <w:jc w:val="center"/>
      </w:pPr>
      <w:r>
        <w:t>САРАТОВСКОЙ ОБЛАСТИ</w:t>
      </w:r>
    </w:p>
    <w:p w:rsidR="00407A4F" w:rsidRDefault="00407A4F">
      <w:pPr>
        <w:pStyle w:val="ConsPlusTitle"/>
        <w:widowControl/>
        <w:jc w:val="center"/>
      </w:pPr>
    </w:p>
    <w:p w:rsidR="00407A4F" w:rsidRDefault="00407A4F">
      <w:pPr>
        <w:pStyle w:val="ConsPlusTitle"/>
        <w:widowControl/>
        <w:jc w:val="center"/>
      </w:pPr>
      <w:r>
        <w:t>ПОСТАНОВЛЕНИЕ</w:t>
      </w:r>
    </w:p>
    <w:p w:rsidR="00407A4F" w:rsidRDefault="00407A4F">
      <w:pPr>
        <w:pStyle w:val="ConsPlusTitle"/>
        <w:widowControl/>
        <w:jc w:val="center"/>
      </w:pPr>
      <w:r>
        <w:t>от 30 ноября 2011 г. N 29/4</w:t>
      </w:r>
    </w:p>
    <w:p w:rsidR="00407A4F" w:rsidRDefault="00407A4F">
      <w:pPr>
        <w:pStyle w:val="ConsPlusTitle"/>
        <w:widowControl/>
        <w:jc w:val="center"/>
      </w:pPr>
    </w:p>
    <w:p w:rsidR="00407A4F" w:rsidRDefault="00407A4F">
      <w:pPr>
        <w:pStyle w:val="ConsPlusTitle"/>
        <w:widowControl/>
        <w:jc w:val="center"/>
      </w:pPr>
      <w:r>
        <w:t>ОБ УСТАНОВЛЕНИИ ТАРИФОВ НА ЭЛЕКТРИЧЕСКУЮ ЭНЕРГИЮ</w:t>
      </w:r>
    </w:p>
    <w:p w:rsidR="00407A4F" w:rsidRDefault="00407A4F">
      <w:pPr>
        <w:pStyle w:val="ConsPlusTitle"/>
        <w:widowControl/>
        <w:jc w:val="center"/>
      </w:pPr>
      <w:r>
        <w:t>ДЛЯ НАСЕЛЕНИЯ И ПРИРАВНЕННЫМ К НЕМУ КАТЕГОРИЯМ ПОТРЕБИТЕЛЕЙ</w:t>
      </w:r>
    </w:p>
    <w:p w:rsidR="00407A4F" w:rsidRDefault="00407A4F">
      <w:pPr>
        <w:pStyle w:val="ConsPlusTitle"/>
        <w:widowControl/>
        <w:jc w:val="center"/>
      </w:pPr>
      <w:r>
        <w:t>НА ТЕРРИТОРИИ САРАТОВСКОЙ ОБЛАСТИ НА 2012 ГОД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109 "О ценообразовании в отношении электрической и тепловой энергии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 августа 2006 г. N 530 "Об утверждении основных положений функционирования розничных рынков электрической энергии",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тарифам от 6 октября 2011 г. N 240-э/5 "О предельных уровнях тарифов на электрическую энергию, поставляемую населению и приравненным к нему категориям потребителей, на 2012 год",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Саратовской области от 12 апреля 2007 г. N 169-П "Вопросы комитета государственного регулирования тарифов Саратовской области" комитет государственного регулирования тарифов Саратовской области постановляет:</w:t>
      </w:r>
      <w:proofErr w:type="gramEnd"/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r:id="rId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области и потребителей, приравненных к категории население на 2012 год с календарной разбивкой, согласно приложению.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</w:t>
      </w:r>
      <w:hyperlink r:id="rId1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вводятся в действие с 1 января 2012 года и действуют не менее одного финансового года.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1 января 2012 года: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постановления комитета государственного регулирования тарифов Саратовской области от 19 ноября 2010 г. N 16/25 "Об установлении тарифов на электрическую энергию для населения Саратовской области на 2011 год";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государственного регулирования тарифов Саратовской области от 28 марта 2011 г. N 5/2 "О внесении изменений в постановление комитета государственного регулирования тарифов Саратовской области от 19 ноября 2010 г. N 16/25";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государственного регулирования тарифов Саратовской области от 12 августа 2011 г. N 15/2 "О внесении изменения в постановление комитета государственного регулирования тарифов Саратовской области от 28 марта 2011 г. N 5/2 "О внесении изменений в постановление комитета государственного регулирования тарифов Саратовской области от 19 ноября 2010 г. N 16/25".</w:t>
      </w:r>
      <w:proofErr w:type="gramEnd"/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подлежит официальному опубликованию в средствах массовой информации.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7A4F" w:rsidRDefault="00407A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Л.Н.НОВИКОВА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7A4F" w:rsidRDefault="00407A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7A4F" w:rsidRDefault="00407A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7A4F" w:rsidRDefault="00407A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7A4F" w:rsidRDefault="00407A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7A4F" w:rsidRDefault="00407A4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07A4F" w:rsidRDefault="00407A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государственного регулирования тарифов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ноября 2011 г. N 29/4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7A4F" w:rsidRDefault="00407A4F">
      <w:pPr>
        <w:pStyle w:val="ConsPlusTitle"/>
        <w:widowControl/>
        <w:jc w:val="center"/>
      </w:pPr>
      <w:r>
        <w:t>ТАРИФЫ</w:t>
      </w:r>
    </w:p>
    <w:p w:rsidR="00407A4F" w:rsidRDefault="00407A4F">
      <w:pPr>
        <w:pStyle w:val="ConsPlusTitle"/>
        <w:widowControl/>
        <w:jc w:val="center"/>
      </w:pPr>
      <w:r>
        <w:t>НА ЭЛЕКТРИЧЕСКУЮ ЭНЕРГИЮ ДЛЯ НАСЕЛЕНИЯ</w:t>
      </w:r>
    </w:p>
    <w:p w:rsidR="00407A4F" w:rsidRDefault="00407A4F">
      <w:pPr>
        <w:pStyle w:val="ConsPlusTitle"/>
        <w:widowControl/>
        <w:jc w:val="center"/>
      </w:pPr>
      <w:r>
        <w:t>И ПРИРАВНЕННЫМ К НЕМУ КАТЕГОРИЯМ ПОТРЕБИТЕЛЕЙ</w:t>
      </w:r>
    </w:p>
    <w:p w:rsidR="00407A4F" w:rsidRDefault="00407A4F">
      <w:pPr>
        <w:pStyle w:val="ConsPlusTitle"/>
        <w:widowControl/>
        <w:jc w:val="center"/>
      </w:pPr>
      <w:r>
        <w:t>НА ТЕРРИТОРИИ САРАТОВСКОЙ ОБЛАСТИ НА 2012 ГОД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725"/>
        <w:gridCol w:w="1485"/>
        <w:gridCol w:w="1485"/>
        <w:gridCol w:w="1485"/>
      </w:tblGrid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по ставкам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(тариф)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01.01.2012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30.06.2012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(тариф)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01.07.2012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31.12.2012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(тарифы указываются с учетом НДС)                     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указанного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пунктах 1.2 и 1.3        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2,28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2,41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2,67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2,82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1,11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3,72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2,28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2,41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1,11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городских населенных пунктах в домах,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(или) электроотопительными установками                        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1,69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1,97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0,78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1.2.3</w:t>
            </w:r>
          </w:p>
        </w:tc>
        <w:tc>
          <w:tcPr>
            <w:tcW w:w="7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2,60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1,69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0,78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сельских населенных пунктах            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1,69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</w:t>
            </w:r>
          </w:p>
        </w:tc>
        <w:tc>
          <w:tcPr>
            <w:tcW w:w="7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1,97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0,78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2,60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1,69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0,78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приравненные к населению (тарифы указываются с учетом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НДС)                                                            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городских населенных пунктах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2,41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2,82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1,12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3,72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2,41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1,11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сельских населенных пунктах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1,69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2.2.1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1,97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0,78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2.2.2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зонам суток                    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2,60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1,69   </w:t>
            </w:r>
          </w:p>
        </w:tc>
      </w:tr>
      <w:tr w:rsidR="00407A4F" w:rsidTr="00407A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4F" w:rsidRDefault="00407A4F" w:rsidP="00407A4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0,78   </w:t>
            </w:r>
          </w:p>
        </w:tc>
      </w:tr>
    </w:tbl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31 декабря 2010 г.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(тарифам)", оплата электрической энергии по тарифам, установленным для группы "Население", производится следующими приравненными к данной категории потребителями:</w:t>
      </w:r>
      <w:proofErr w:type="gramEnd"/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помещений;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содержащиеся за счет прихожан религиозные организации;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</w:t>
      </w:r>
      <w:r>
        <w:rPr>
          <w:rFonts w:ascii="Calibri" w:hAnsi="Calibri" w:cs="Calibri"/>
        </w:rPr>
        <w:lastRenderedPageBreak/>
        <w:t>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хозяйственные постройки физических лиц (погреба, сараи и иные сооружения аналогичного назначения);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некоммерческие объединения граждан (гаражно-строительные, гаражные кооперативы),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Оплата электрической энергии садоводческими, огородническими и дачными некоммерческими объединениями граждан, содержащимися за счет прихожан религиозными организациями и некоммерческими объединениями граждан (гаражно-строительные, гаражные кооперативы) осуществляется по тарифу, установленному для городского населения.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Оплата населением за пользование электрической энергией по дифференцированным тарифам производится при наличии приборов учета, определяющих потребление по зонам суток.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Интервалы тарифных зон суток определяются в соответствии с приказом Федеральной службы по тарифам.</w:t>
      </w:r>
    </w:p>
    <w:p w:rsidR="00407A4F" w:rsidRDefault="00407A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7A4F" w:rsidRDefault="00407A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7A4F" w:rsidRDefault="00407A4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3614" w:rsidRDefault="00A63614"/>
    <w:sectPr w:rsidR="00A63614" w:rsidSect="00407A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4F"/>
    <w:rsid w:val="00013FF5"/>
    <w:rsid w:val="00017612"/>
    <w:rsid w:val="0002632D"/>
    <w:rsid w:val="00076611"/>
    <w:rsid w:val="000F411B"/>
    <w:rsid w:val="000F449E"/>
    <w:rsid w:val="001038EA"/>
    <w:rsid w:val="001139F0"/>
    <w:rsid w:val="00123130"/>
    <w:rsid w:val="001238A6"/>
    <w:rsid w:val="00133548"/>
    <w:rsid w:val="00151609"/>
    <w:rsid w:val="001615E9"/>
    <w:rsid w:val="00163656"/>
    <w:rsid w:val="00177EFA"/>
    <w:rsid w:val="00183778"/>
    <w:rsid w:val="001A7664"/>
    <w:rsid w:val="001B770C"/>
    <w:rsid w:val="001C30B4"/>
    <w:rsid w:val="001D2C06"/>
    <w:rsid w:val="001E1CE9"/>
    <w:rsid w:val="001F430A"/>
    <w:rsid w:val="00221550"/>
    <w:rsid w:val="0023352C"/>
    <w:rsid w:val="002875D7"/>
    <w:rsid w:val="002D457B"/>
    <w:rsid w:val="002E732C"/>
    <w:rsid w:val="00320A2A"/>
    <w:rsid w:val="003214EA"/>
    <w:rsid w:val="00341325"/>
    <w:rsid w:val="0034149C"/>
    <w:rsid w:val="00343977"/>
    <w:rsid w:val="00350CEE"/>
    <w:rsid w:val="00392023"/>
    <w:rsid w:val="00396377"/>
    <w:rsid w:val="003A2407"/>
    <w:rsid w:val="003B69AC"/>
    <w:rsid w:val="00407A4F"/>
    <w:rsid w:val="004168BB"/>
    <w:rsid w:val="00416C93"/>
    <w:rsid w:val="004238F5"/>
    <w:rsid w:val="004322FF"/>
    <w:rsid w:val="00434573"/>
    <w:rsid w:val="0045191D"/>
    <w:rsid w:val="00455AA7"/>
    <w:rsid w:val="004972B9"/>
    <w:rsid w:val="004B281E"/>
    <w:rsid w:val="004C1101"/>
    <w:rsid w:val="004F1EC7"/>
    <w:rsid w:val="00526023"/>
    <w:rsid w:val="00526852"/>
    <w:rsid w:val="005822E2"/>
    <w:rsid w:val="00586EFB"/>
    <w:rsid w:val="005B6C63"/>
    <w:rsid w:val="005C35B6"/>
    <w:rsid w:val="005C48F1"/>
    <w:rsid w:val="00612CBE"/>
    <w:rsid w:val="00612D40"/>
    <w:rsid w:val="0062440A"/>
    <w:rsid w:val="006540DB"/>
    <w:rsid w:val="00665767"/>
    <w:rsid w:val="006661E3"/>
    <w:rsid w:val="006829ED"/>
    <w:rsid w:val="0069783F"/>
    <w:rsid w:val="006A2009"/>
    <w:rsid w:val="006A4CBB"/>
    <w:rsid w:val="006C2759"/>
    <w:rsid w:val="006D0569"/>
    <w:rsid w:val="006F6B53"/>
    <w:rsid w:val="0075023A"/>
    <w:rsid w:val="007618DD"/>
    <w:rsid w:val="007C2A98"/>
    <w:rsid w:val="007C4A3D"/>
    <w:rsid w:val="007D1CE2"/>
    <w:rsid w:val="007F14F4"/>
    <w:rsid w:val="007F52FB"/>
    <w:rsid w:val="008020DD"/>
    <w:rsid w:val="00805411"/>
    <w:rsid w:val="00825070"/>
    <w:rsid w:val="00841E2A"/>
    <w:rsid w:val="008526F4"/>
    <w:rsid w:val="0085638F"/>
    <w:rsid w:val="00857B13"/>
    <w:rsid w:val="008611DE"/>
    <w:rsid w:val="008750ED"/>
    <w:rsid w:val="00890780"/>
    <w:rsid w:val="008A5EDD"/>
    <w:rsid w:val="008B3ECC"/>
    <w:rsid w:val="008D7F96"/>
    <w:rsid w:val="008E4BFE"/>
    <w:rsid w:val="008F372B"/>
    <w:rsid w:val="009035D1"/>
    <w:rsid w:val="00925135"/>
    <w:rsid w:val="0094662C"/>
    <w:rsid w:val="00954D33"/>
    <w:rsid w:val="00956A52"/>
    <w:rsid w:val="009600AF"/>
    <w:rsid w:val="00971958"/>
    <w:rsid w:val="00973089"/>
    <w:rsid w:val="00973C3B"/>
    <w:rsid w:val="00974EC0"/>
    <w:rsid w:val="009A1D31"/>
    <w:rsid w:val="009A5F1E"/>
    <w:rsid w:val="009C1F34"/>
    <w:rsid w:val="009D4488"/>
    <w:rsid w:val="009E6BD8"/>
    <w:rsid w:val="00A0437E"/>
    <w:rsid w:val="00A22EB2"/>
    <w:rsid w:val="00A236AE"/>
    <w:rsid w:val="00A262F2"/>
    <w:rsid w:val="00A27939"/>
    <w:rsid w:val="00A31E21"/>
    <w:rsid w:val="00A360EB"/>
    <w:rsid w:val="00A63614"/>
    <w:rsid w:val="00A67525"/>
    <w:rsid w:val="00A67B4C"/>
    <w:rsid w:val="00A845D9"/>
    <w:rsid w:val="00AA00A8"/>
    <w:rsid w:val="00AA6A70"/>
    <w:rsid w:val="00AB527B"/>
    <w:rsid w:val="00AB6575"/>
    <w:rsid w:val="00AC020F"/>
    <w:rsid w:val="00AE4C32"/>
    <w:rsid w:val="00AF6D33"/>
    <w:rsid w:val="00B06FEA"/>
    <w:rsid w:val="00B14075"/>
    <w:rsid w:val="00B14158"/>
    <w:rsid w:val="00B52238"/>
    <w:rsid w:val="00B54864"/>
    <w:rsid w:val="00B773D6"/>
    <w:rsid w:val="00B934A7"/>
    <w:rsid w:val="00B944E7"/>
    <w:rsid w:val="00B96554"/>
    <w:rsid w:val="00B9740D"/>
    <w:rsid w:val="00BD329E"/>
    <w:rsid w:val="00BD4D2E"/>
    <w:rsid w:val="00BD7D2C"/>
    <w:rsid w:val="00BE109A"/>
    <w:rsid w:val="00BF3942"/>
    <w:rsid w:val="00C45921"/>
    <w:rsid w:val="00C5085D"/>
    <w:rsid w:val="00C61477"/>
    <w:rsid w:val="00CA6597"/>
    <w:rsid w:val="00CB46E1"/>
    <w:rsid w:val="00CC0E01"/>
    <w:rsid w:val="00CF2528"/>
    <w:rsid w:val="00D17278"/>
    <w:rsid w:val="00D73656"/>
    <w:rsid w:val="00D800B1"/>
    <w:rsid w:val="00DC5F4C"/>
    <w:rsid w:val="00DF3D63"/>
    <w:rsid w:val="00E74C67"/>
    <w:rsid w:val="00E969EF"/>
    <w:rsid w:val="00EA247C"/>
    <w:rsid w:val="00EB00CE"/>
    <w:rsid w:val="00ED1F1E"/>
    <w:rsid w:val="00ED205A"/>
    <w:rsid w:val="00ED792C"/>
    <w:rsid w:val="00EE0A08"/>
    <w:rsid w:val="00EE2151"/>
    <w:rsid w:val="00EE5FFC"/>
    <w:rsid w:val="00F05E27"/>
    <w:rsid w:val="00F13490"/>
    <w:rsid w:val="00F22736"/>
    <w:rsid w:val="00F304C3"/>
    <w:rsid w:val="00F36C6A"/>
    <w:rsid w:val="00F43E87"/>
    <w:rsid w:val="00F4633C"/>
    <w:rsid w:val="00F62F76"/>
    <w:rsid w:val="00F667ED"/>
    <w:rsid w:val="00F72FBD"/>
    <w:rsid w:val="00FA61B6"/>
    <w:rsid w:val="00FC7B73"/>
    <w:rsid w:val="00FF1889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7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7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07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9C25868340AF35EF98ACE4824C56E38D8603A727B0942942A3A8E68364E7D867F9D2EB42EA3D046E680WCF2M" TargetMode="External"/><Relationship Id="rId13" Type="http://schemas.openxmlformats.org/officeDocument/2006/relationships/hyperlink" Target="consultantplus://offline/ref=AD09C25868340AF35EF98ACE4824C56E38D8603A72790948952A3A8E68364E7DW8F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09C25868340AF35EF994C35E48986631D33836717A001CCC7561D33FW3FFM" TargetMode="External"/><Relationship Id="rId12" Type="http://schemas.openxmlformats.org/officeDocument/2006/relationships/hyperlink" Target="consultantplus://offline/ref=AD09C25868340AF35EF98ACE4824C56E38D8603A737F094F932A3A8E68364E7D867F9D2EB42EA3D046E481WCF4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9C25868340AF35EF994C35E48986631D13F337671001CCC7561D33FW3FFM" TargetMode="External"/><Relationship Id="rId11" Type="http://schemas.openxmlformats.org/officeDocument/2006/relationships/hyperlink" Target="consultantplus://offline/ref=AD09C25868340AF35EF98ACE4824C56E38D8603A737F094F932A3A8E68364E7D867F9D2EB42EA3D046E481WCF7M" TargetMode="External"/><Relationship Id="rId5" Type="http://schemas.openxmlformats.org/officeDocument/2006/relationships/hyperlink" Target="consultantplus://offline/ref=AD09C25868340AF35EF994C35E48986631D2383E7470001CCC7561D33F3F442AC130C46FWFF2M" TargetMode="External"/><Relationship Id="rId15" Type="http://schemas.openxmlformats.org/officeDocument/2006/relationships/hyperlink" Target="consultantplus://offline/ref=AD09C25868340AF35EF994C35E48986631D2383E757C001CCC7561D33FW3FFM" TargetMode="External"/><Relationship Id="rId10" Type="http://schemas.openxmlformats.org/officeDocument/2006/relationships/hyperlink" Target="consultantplus://offline/ref=AD09C25868340AF35EF98ACE4824C56E38D8603A727B0E4C922A3A8E68364E7D867F9D2EB42EA3D046E481WCF7M" TargetMode="External"/><Relationship Id="rId4" Type="http://schemas.openxmlformats.org/officeDocument/2006/relationships/hyperlink" Target="consultantplus://offline/ref=AD09C25868340AF35EF994C35E48986631D13C307F70001CCC7561D33FW3FFM" TargetMode="External"/><Relationship Id="rId9" Type="http://schemas.openxmlformats.org/officeDocument/2006/relationships/hyperlink" Target="consultantplus://offline/ref=AD09C25868340AF35EF98ACE4824C56E38D8603A727B0E4C922A3A8E68364E7D867F9D2EB42EA3D046E480WCF6M" TargetMode="External"/><Relationship Id="rId14" Type="http://schemas.openxmlformats.org/officeDocument/2006/relationships/hyperlink" Target="consultantplus://offline/ref=AD09C25868340AF35EF98ACE4824C56E38D8603A72780249992A3A8E68364E7DW8F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1717</Words>
  <Characters>9790</Characters>
  <Application>Microsoft Office Word</Application>
  <DocSecurity>0</DocSecurity>
  <Lines>81</Lines>
  <Paragraphs>22</Paragraphs>
  <ScaleCrop>false</ScaleCrop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2012-01-16T12:05:00Z</dcterms:created>
  <dcterms:modified xsi:type="dcterms:W3CDTF">2012-01-16T12:07:00Z</dcterms:modified>
</cp:coreProperties>
</file>