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ИРКУТСКОЙ ОБЛАСТИ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251-спр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  <w:bookmarkStart w:id="1" w:name="_GoBack"/>
      <w:bookmarkEnd w:id="1"/>
      <w:r>
        <w:rPr>
          <w:rFonts w:ascii="Calibri" w:hAnsi="Calibri" w:cs="Calibri"/>
          <w:b/>
          <w:bCs/>
        </w:rPr>
        <w:t xml:space="preserve"> ЕДИНЫХ (КОТЛОВЫХ) ТАРИФОВ НА УСЛУГИ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НА ТЕРРИТОРИИ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 С 1 ЯНВАРЯ 2013 ГОДА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29 ноября 2012 года N 313-э/2, руководствуясь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службе по тарифам Иркутской области, утвержденным постановлением Правительства Иркутской области</w:t>
      </w:r>
      <w:proofErr w:type="gramEnd"/>
      <w:r>
        <w:rPr>
          <w:rFonts w:ascii="Calibri" w:hAnsi="Calibri" w:cs="Calibri"/>
        </w:rPr>
        <w:t xml:space="preserve"> от 7 июня 2012 года N 303-пп, учитывая итоги рассмотрения данного вопроса на заседании Правления службы по тарифам Иркутской области 28 декабря 2012 года, приказываю: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2013 года на срок не менее одного года единые (котловые) </w:t>
      </w:r>
      <w:hyperlink w:anchor="Par3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на территории Иркутской области с календарной разбивкой согласно приложению.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1 января 2013 года: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29 декабря 2011 года N 272-спр "Об установлении единых (котловых) тарифов на услуги по передаче электрической энергии на территории Иркутской области с 1 января 2012 года";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23 июля 2012 года N 88-спр "О внесении изменений в приказ службы по тарифам Иркутской области от 29 декабря 2011 года N 272-спр".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подлежит официальному опубликованию.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замещающий</w:t>
      </w:r>
      <w:proofErr w:type="gramEnd"/>
      <w:r>
        <w:rPr>
          <w:rFonts w:ascii="Calibri" w:hAnsi="Calibri" w:cs="Calibri"/>
        </w:rPr>
        <w:t xml:space="preserve"> должность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службы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А.Р.ХАЛИУЛИН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97BB8" w:rsidSect="004626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года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251-спр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ЕДИНЫЕ (КОТЛОВЫЕ) ТАРИФЫ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ИРКУТСКОЙ ОБЛАСТИ (БЕЗ НДС)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1800"/>
        <w:gridCol w:w="1800"/>
        <w:gridCol w:w="1440"/>
        <w:gridCol w:w="1440"/>
        <w:gridCol w:w="1440"/>
        <w:gridCol w:w="1440"/>
      </w:tblGrid>
      <w:tr w:rsidR="00A97B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Показатель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Единица   </w:t>
            </w:r>
          </w:p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измерения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    </w:t>
            </w:r>
          </w:p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действия   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Диапазоны напряжения            </w:t>
            </w:r>
          </w:p>
        </w:tc>
      </w:tr>
      <w:tr w:rsidR="00A97B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ВН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</w:t>
            </w:r>
          </w:p>
        </w:tc>
      </w:tr>
      <w:tr w:rsidR="00A97B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44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Тарифные группы потребителей электрической энергии (мощности)                               </w:t>
            </w:r>
          </w:p>
        </w:tc>
      </w:tr>
      <w:tr w:rsidR="00A97B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12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46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потребители, включая бюджетных потребителей                                          </w:t>
            </w:r>
          </w:p>
        </w:tc>
      </w:tr>
      <w:tr w:rsidR="00A97B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26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01.01.2013 </w:t>
            </w:r>
          </w:p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30.06.2013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271,02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520,53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651,56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763,71</w:t>
            </w:r>
          </w:p>
        </w:tc>
      </w:tr>
      <w:tr w:rsidR="00A97B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01.07.2013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298,12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572,59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716,71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840,08</w:t>
            </w:r>
          </w:p>
        </w:tc>
      </w:tr>
      <w:tr w:rsidR="00A97B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12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                            </w:t>
            </w:r>
          </w:p>
        </w:tc>
      </w:tr>
      <w:tr w:rsidR="00A97B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6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ставка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    </w:t>
            </w:r>
          </w:p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сетей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ес.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01.01.2013 </w:t>
            </w:r>
          </w:p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30.06.2013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161812,17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292491,48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362637,16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333988,87</w:t>
            </w:r>
          </w:p>
        </w:tc>
      </w:tr>
      <w:tr w:rsidR="00A97B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01.07.2013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177993,39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321740,63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398900,87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367387,75</w:t>
            </w:r>
          </w:p>
        </w:tc>
      </w:tr>
      <w:tr w:rsidR="00A97B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26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ставка  на  оплату</w:t>
            </w:r>
          </w:p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технологического    </w:t>
            </w:r>
          </w:p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расхода  (потерь)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01.01.2013 </w:t>
            </w:r>
          </w:p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30.06.2013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42,56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64,77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90,71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177,32</w:t>
            </w:r>
          </w:p>
        </w:tc>
      </w:tr>
      <w:tr w:rsidR="00A97B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01.07.2013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46,81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71,25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99,78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195,05</w:t>
            </w:r>
          </w:p>
        </w:tc>
      </w:tr>
      <w:tr w:rsidR="00A97B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120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65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и приравненные к нему категории потребителей                                      </w:t>
            </w:r>
          </w:p>
        </w:tc>
      </w:tr>
      <w:tr w:rsidR="00A97B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26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</w:t>
            </w:r>
          </w:p>
        </w:tc>
        <w:tc>
          <w:tcPr>
            <w:tcW w:w="18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01.01.2013 </w:t>
            </w:r>
          </w:p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30.06.2013</w:t>
            </w:r>
          </w:p>
        </w:tc>
        <w:tc>
          <w:tcPr>
            <w:tcW w:w="5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257,02</w:t>
            </w:r>
          </w:p>
        </w:tc>
      </w:tr>
      <w:tr w:rsidR="00A97B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01.07.2013 </w:t>
            </w:r>
          </w:p>
        </w:tc>
        <w:tc>
          <w:tcPr>
            <w:tcW w:w="5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7BB8" w:rsidRDefault="00A97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235,93</w:t>
            </w:r>
          </w:p>
        </w:tc>
      </w:tr>
    </w:tbl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 1. Получателем услуг по передаче электрической энергии по единым (котловым) тарифам тарифной таблицы приложения является котлодержатель.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2. Единые (котловые) тарифы тарифной таблицы приложения установлены для всех потребителей электрической энергии Иркутской области, за исключением потребителей территориальных сетевых организаций, находящихся на территориях, в границах которых не формируется равновесная цена.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3. </w:t>
      </w:r>
      <w:proofErr w:type="gramStart"/>
      <w:r>
        <w:rPr>
          <w:rFonts w:ascii="Calibri" w:hAnsi="Calibri" w:cs="Calibri"/>
        </w:rPr>
        <w:t xml:space="preserve">Единые (котловые) тарифы тарифной таблицы приложения рассчитаны в соответствии с </w:t>
      </w:r>
      <w:hyperlink r:id="rId11" w:history="1">
        <w:r>
          <w:rPr>
            <w:rFonts w:ascii="Calibri" w:hAnsi="Calibri" w:cs="Calibri"/>
            <w:color w:val="0000FF"/>
          </w:rPr>
          <w:t>Методическими</w:t>
        </w:r>
      </w:hyperlink>
      <w:r>
        <w:rPr>
          <w:rFonts w:ascii="Calibri" w:hAnsi="Calibri" w:cs="Calibri"/>
        </w:rPr>
        <w:t xml:space="preserve"> указаниями по расчету регулируемых тарифов и цен на электрическую (тепловую) энергию на розничном (потребительском) рынке, утвержденными приказом ФСТ России от 6 августа 2004 года N 20-э/2, исходя из необходимости обеспечения равенства тарифов на услуги по передаче электрической энергии для всех потребителей услуг, расположенных на территории Иркутской области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принадлежащих</w:t>
      </w:r>
      <w:proofErr w:type="gramEnd"/>
      <w:r>
        <w:rPr>
          <w:rFonts w:ascii="Calibri" w:hAnsi="Calibri" w:cs="Calibri"/>
        </w:rPr>
        <w:t xml:space="preserve"> к одной группе (категории).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службы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И.Ю.ВЕКЛЮЧ</w:t>
      </w: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BB8" w:rsidRDefault="00A97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7BB8" w:rsidRDefault="00A97BB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5DE1" w:rsidRDefault="00A97BB8"/>
    <w:sectPr w:rsidR="003D5D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B8"/>
    <w:rsid w:val="00A97BB8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B367AE770E52F4C3696A45BDA0C3C82FF5F1229B4E5CEB63DCAE3DEA53E015F65298CDAF504A94F1CD334e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CB367AE770E52F4C3688A94DB6563082F7081D2DBEE69FE36291BE893AeC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CB367AE770E52F4C3688A94DB6563082F0011B29BFE69FE36291BE893AeCI" TargetMode="External"/><Relationship Id="rId11" Type="http://schemas.openxmlformats.org/officeDocument/2006/relationships/hyperlink" Target="consultantplus://offline/ref=7CCB367AE770E52F4C3688A94DB6563082F6051B2AB9E69FE36291BE89AC3456182A70CE9EF805A834eEI" TargetMode="External"/><Relationship Id="rId5" Type="http://schemas.openxmlformats.org/officeDocument/2006/relationships/hyperlink" Target="consultantplus://offline/ref=7CCB367AE770E52F4C3688A94DB6563082F005182FB5E69FE36291BE893AeCI" TargetMode="External"/><Relationship Id="rId10" Type="http://schemas.openxmlformats.org/officeDocument/2006/relationships/hyperlink" Target="consultantplus://offline/ref=7CCB367AE770E52F4C3696A45BDA0C3C82FF5F1229BEE4C8BE3DCAE3DEA53E0135e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CB367AE770E52F4C3696A45BDA0C3C82FF5F1229B8ECCEBB3DCAE3DEA53E0135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2014-06-25T08:30:00Z</dcterms:created>
  <dcterms:modified xsi:type="dcterms:W3CDTF">2014-06-25T08:31:00Z</dcterms:modified>
</cp:coreProperties>
</file>