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C0" w:rsidRDefault="003804C0">
      <w:pPr>
        <w:widowControl w:val="0"/>
        <w:autoSpaceDE w:val="0"/>
        <w:autoSpaceDN w:val="0"/>
        <w:adjustRightInd w:val="0"/>
        <w:jc w:val="both"/>
        <w:outlineLvl w:val="0"/>
      </w:pPr>
    </w:p>
    <w:p w:rsidR="003804C0" w:rsidRDefault="003804C0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УПРАВЛЕНИЕ ПО ТАРИФНОМУ РЕГУЛИРОВАНИЮ МУРМАНСКОЙ ОБЛАСТИ</w:t>
      </w:r>
    </w:p>
    <w:p w:rsidR="003804C0" w:rsidRDefault="003804C0">
      <w:pPr>
        <w:pStyle w:val="ConsPlusTitle"/>
        <w:jc w:val="center"/>
        <w:rPr>
          <w:sz w:val="20"/>
          <w:szCs w:val="20"/>
        </w:rPr>
      </w:pPr>
    </w:p>
    <w:p w:rsidR="003804C0" w:rsidRDefault="003804C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3804C0" w:rsidRDefault="003804C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28 ноября 2012 г. N 52/1</w:t>
      </w:r>
    </w:p>
    <w:p w:rsidR="003804C0" w:rsidRDefault="003804C0">
      <w:pPr>
        <w:pStyle w:val="ConsPlusTitle"/>
        <w:jc w:val="center"/>
        <w:rPr>
          <w:sz w:val="20"/>
          <w:szCs w:val="20"/>
        </w:rPr>
      </w:pPr>
    </w:p>
    <w:p w:rsidR="003804C0" w:rsidRDefault="003804C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УСТАНОВЛЕНИИ ТАРИФОВ НА ЭЛЕКТРИЧЕСКУЮ ЭНЕРГИЮ,</w:t>
      </w:r>
    </w:p>
    <w:p w:rsidR="003804C0" w:rsidRDefault="003804C0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ПОСТАВЛЯЕМУЮ</w:t>
      </w:r>
      <w:proofErr w:type="gramEnd"/>
      <w:r>
        <w:rPr>
          <w:sz w:val="20"/>
          <w:szCs w:val="20"/>
        </w:rPr>
        <w:t xml:space="preserve"> НАСЕЛЕНИЮ И ПРИРАВНЕННЫМ К НЕМУ КАТЕГОРИЯМ</w:t>
      </w:r>
    </w:p>
    <w:p w:rsidR="003804C0" w:rsidRDefault="003804C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ПОТРЕБИТЕЛЕЙ, ПО МУРМАНСКОЙ ОБЛАСТИ НА 2013 ГОД</w:t>
      </w:r>
    </w:p>
    <w:p w:rsidR="003804C0" w:rsidRDefault="003804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04C0" w:rsidRDefault="003804C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постановлениями Правительства Российской Федерации от 07.12.1998 </w:t>
      </w:r>
      <w:hyperlink r:id="rId6" w:history="1">
        <w:r>
          <w:rPr>
            <w:color w:val="0000FF"/>
          </w:rPr>
          <w:t>N 1444</w:t>
        </w:r>
      </w:hyperlink>
      <w:r>
        <w:t xml:space="preserve"> "Об основах ценообразования в отношении электрической энергии, потребляемой населением", от 06.05.2011 </w:t>
      </w:r>
      <w:hyperlink r:id="rId7" w:history="1">
        <w:r>
          <w:rPr>
            <w:color w:val="0000FF"/>
          </w:rPr>
          <w:t>N 354</w:t>
        </w:r>
      </w:hyperlink>
      <w:r>
        <w:t xml:space="preserve"> "О порядке предоставления коммунальных услуг собственникам и пользователям помещений в многоквартирных домах и жилых домов" и от 29.12.2011 </w:t>
      </w:r>
      <w:hyperlink r:id="rId8" w:history="1">
        <w:r>
          <w:rPr>
            <w:color w:val="0000FF"/>
          </w:rPr>
          <w:t>N 1178</w:t>
        </w:r>
      </w:hyperlink>
      <w:r>
        <w:t xml:space="preserve"> "О ценообразовании в области регулируемых цен (тарифов) в</w:t>
      </w:r>
      <w:proofErr w:type="gramEnd"/>
      <w:r>
        <w:t xml:space="preserve"> </w:t>
      </w:r>
      <w:proofErr w:type="gramStart"/>
      <w:r>
        <w:t xml:space="preserve">электроэнергетике", приказами Федеральной службы по тарифам от 06.08.2004 </w:t>
      </w:r>
      <w:hyperlink r:id="rId9" w:history="1">
        <w:r>
          <w:rPr>
            <w:color w:val="0000FF"/>
          </w:rPr>
          <w:t>N 20-Э/2</w:t>
        </w:r>
      </w:hyperlink>
      <w:r>
        <w:t xml:space="preserve"> "Об утверждении Методических указаний по расчету регулируемых тарифов и цен на электрическую (тепловую) энергию на розничном (потребительском) рынке", от 31.12.2010 </w:t>
      </w:r>
      <w:hyperlink r:id="rId10" w:history="1">
        <w:r>
          <w:rPr>
            <w:color w:val="0000FF"/>
          </w:rPr>
          <w:t>N 655-Э</w:t>
        </w:r>
      </w:hyperlink>
      <w:r>
        <w:t xml:space="preserve"> "Об определении категорий потребителей, которые приравнены к населению и которым электрическая энергия (мощность) поставляется по регулируемым ценам (тарифам)" и от 09.10.2012 </w:t>
      </w:r>
      <w:hyperlink r:id="rId11" w:history="1">
        <w:r>
          <w:rPr>
            <w:color w:val="0000FF"/>
          </w:rPr>
          <w:t>N 230-Э/3</w:t>
        </w:r>
      </w:hyperlink>
      <w:r>
        <w:t xml:space="preserve"> "О предельных уровнях</w:t>
      </w:r>
      <w:proofErr w:type="gramEnd"/>
      <w:r>
        <w:t xml:space="preserve"> </w:t>
      </w:r>
      <w:proofErr w:type="gramStart"/>
      <w:r>
        <w:t xml:space="preserve">тарифов на электрическую энергию, поставляемую населению и приравненным к нему категориям потребителей, на 2013 год",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15.07.2009 N 311-ПП "Об утверждении Положения об Управлении по тарифному регулированию Мурманской области", на основании решения коллегии Управления по тарифному регулированию Мурманской области (протокол от 28.11.2012), Управление по тарифному регулированию Мурманской области постановляет:</w:t>
      </w:r>
      <w:proofErr w:type="gramEnd"/>
    </w:p>
    <w:p w:rsidR="003804C0" w:rsidRDefault="003804C0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1"/>
      <w:bookmarkEnd w:id="0"/>
      <w:r>
        <w:t xml:space="preserve">1. Установить </w:t>
      </w:r>
      <w:hyperlink w:anchor="Par29" w:history="1">
        <w:r>
          <w:rPr>
            <w:color w:val="0000FF"/>
          </w:rPr>
          <w:t>тарифы</w:t>
        </w:r>
      </w:hyperlink>
      <w:r>
        <w:t xml:space="preserve"> на электрическую энергию, поставляемую населению и приравненным к нему категориям потребителей, по Мурманской области согласно приложению.</w:t>
      </w:r>
    </w:p>
    <w:p w:rsidR="003804C0" w:rsidRDefault="003804C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hyperlink w:anchor="Par29" w:history="1">
        <w:r>
          <w:rPr>
            <w:color w:val="0000FF"/>
          </w:rPr>
          <w:t>Тарифы</w:t>
        </w:r>
      </w:hyperlink>
      <w:r>
        <w:t xml:space="preserve">, установленные в </w:t>
      </w:r>
      <w:hyperlink w:anchor="Par11" w:history="1">
        <w:r>
          <w:rPr>
            <w:color w:val="0000FF"/>
          </w:rPr>
          <w:t>пункте 1</w:t>
        </w:r>
      </w:hyperlink>
      <w:r>
        <w:t xml:space="preserve"> настоящего постановления, действуют с 1 января по 31 декабря 2013 года с календарной разбивкой.</w:t>
      </w:r>
    </w:p>
    <w:p w:rsidR="003804C0" w:rsidRDefault="003804C0">
      <w:pPr>
        <w:widowControl w:val="0"/>
        <w:autoSpaceDE w:val="0"/>
        <w:autoSpaceDN w:val="0"/>
        <w:adjustRightInd w:val="0"/>
        <w:jc w:val="both"/>
      </w:pPr>
    </w:p>
    <w:p w:rsidR="003804C0" w:rsidRDefault="003804C0">
      <w:pPr>
        <w:widowControl w:val="0"/>
        <w:autoSpaceDE w:val="0"/>
        <w:autoSpaceDN w:val="0"/>
        <w:adjustRightInd w:val="0"/>
        <w:jc w:val="right"/>
      </w:pPr>
      <w:proofErr w:type="spellStart"/>
      <w:r>
        <w:t>И.о</w:t>
      </w:r>
      <w:proofErr w:type="spellEnd"/>
      <w:r>
        <w:t>. начальника</w:t>
      </w:r>
    </w:p>
    <w:p w:rsidR="003804C0" w:rsidRDefault="003804C0">
      <w:pPr>
        <w:widowControl w:val="0"/>
        <w:autoSpaceDE w:val="0"/>
        <w:autoSpaceDN w:val="0"/>
        <w:adjustRightInd w:val="0"/>
        <w:jc w:val="right"/>
      </w:pPr>
      <w:r>
        <w:t>Управления по тарифному регулированию</w:t>
      </w:r>
    </w:p>
    <w:p w:rsidR="003804C0" w:rsidRDefault="003804C0">
      <w:pPr>
        <w:widowControl w:val="0"/>
        <w:autoSpaceDE w:val="0"/>
        <w:autoSpaceDN w:val="0"/>
        <w:adjustRightInd w:val="0"/>
        <w:jc w:val="right"/>
      </w:pPr>
      <w:r>
        <w:t>Мурманской области</w:t>
      </w:r>
    </w:p>
    <w:p w:rsidR="003804C0" w:rsidRDefault="003804C0">
      <w:pPr>
        <w:widowControl w:val="0"/>
        <w:autoSpaceDE w:val="0"/>
        <w:autoSpaceDN w:val="0"/>
        <w:adjustRightInd w:val="0"/>
        <w:jc w:val="right"/>
      </w:pPr>
      <w:r>
        <w:t>Е.В.КОЖЕВНИКОВА</w:t>
      </w:r>
    </w:p>
    <w:p w:rsidR="003804C0" w:rsidRDefault="003804C0">
      <w:pPr>
        <w:widowControl w:val="0"/>
        <w:autoSpaceDE w:val="0"/>
        <w:autoSpaceDN w:val="0"/>
        <w:adjustRightInd w:val="0"/>
        <w:jc w:val="both"/>
      </w:pPr>
    </w:p>
    <w:p w:rsidR="003804C0" w:rsidRDefault="003804C0">
      <w:pPr>
        <w:widowControl w:val="0"/>
        <w:autoSpaceDE w:val="0"/>
        <w:autoSpaceDN w:val="0"/>
        <w:adjustRightInd w:val="0"/>
        <w:jc w:val="both"/>
      </w:pPr>
    </w:p>
    <w:p w:rsidR="003804C0" w:rsidRDefault="003804C0">
      <w:pPr>
        <w:widowControl w:val="0"/>
        <w:autoSpaceDE w:val="0"/>
        <w:autoSpaceDN w:val="0"/>
        <w:adjustRightInd w:val="0"/>
        <w:jc w:val="both"/>
      </w:pPr>
    </w:p>
    <w:p w:rsidR="003804C0" w:rsidRDefault="003804C0">
      <w:pPr>
        <w:widowControl w:val="0"/>
        <w:autoSpaceDE w:val="0"/>
        <w:autoSpaceDN w:val="0"/>
        <w:adjustRightInd w:val="0"/>
        <w:jc w:val="both"/>
      </w:pPr>
    </w:p>
    <w:p w:rsidR="003804C0" w:rsidRDefault="003804C0">
      <w:pPr>
        <w:widowControl w:val="0"/>
        <w:autoSpaceDE w:val="0"/>
        <w:autoSpaceDN w:val="0"/>
        <w:adjustRightInd w:val="0"/>
        <w:jc w:val="both"/>
      </w:pPr>
    </w:p>
    <w:p w:rsidR="003804C0" w:rsidRDefault="003804C0">
      <w:r>
        <w:br w:type="page"/>
      </w:r>
    </w:p>
    <w:p w:rsidR="003804C0" w:rsidRDefault="003804C0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_GoBack"/>
      <w:bookmarkEnd w:id="1"/>
      <w:r>
        <w:lastRenderedPageBreak/>
        <w:t>Приложение</w:t>
      </w:r>
    </w:p>
    <w:p w:rsidR="003804C0" w:rsidRDefault="003804C0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3804C0" w:rsidRDefault="003804C0">
      <w:pPr>
        <w:widowControl w:val="0"/>
        <w:autoSpaceDE w:val="0"/>
        <w:autoSpaceDN w:val="0"/>
        <w:adjustRightInd w:val="0"/>
        <w:jc w:val="right"/>
      </w:pPr>
      <w:r>
        <w:t>Управления по тарифному регулированию</w:t>
      </w:r>
    </w:p>
    <w:p w:rsidR="003804C0" w:rsidRDefault="003804C0">
      <w:pPr>
        <w:widowControl w:val="0"/>
        <w:autoSpaceDE w:val="0"/>
        <w:autoSpaceDN w:val="0"/>
        <w:adjustRightInd w:val="0"/>
        <w:jc w:val="right"/>
      </w:pPr>
      <w:r>
        <w:t>Мурманской области</w:t>
      </w:r>
    </w:p>
    <w:p w:rsidR="003804C0" w:rsidRDefault="003804C0">
      <w:pPr>
        <w:widowControl w:val="0"/>
        <w:autoSpaceDE w:val="0"/>
        <w:autoSpaceDN w:val="0"/>
        <w:adjustRightInd w:val="0"/>
        <w:jc w:val="right"/>
      </w:pPr>
      <w:r>
        <w:t>от 28 ноября 2012 г. N 52/1</w:t>
      </w:r>
    </w:p>
    <w:p w:rsidR="003804C0" w:rsidRDefault="003804C0">
      <w:pPr>
        <w:widowControl w:val="0"/>
        <w:autoSpaceDE w:val="0"/>
        <w:autoSpaceDN w:val="0"/>
        <w:adjustRightInd w:val="0"/>
        <w:jc w:val="both"/>
      </w:pPr>
    </w:p>
    <w:p w:rsidR="003804C0" w:rsidRDefault="003804C0">
      <w:pPr>
        <w:pStyle w:val="ConsPlusTitle"/>
        <w:jc w:val="center"/>
        <w:rPr>
          <w:sz w:val="20"/>
          <w:szCs w:val="20"/>
        </w:rPr>
      </w:pPr>
      <w:bookmarkStart w:id="2" w:name="Par29"/>
      <w:bookmarkEnd w:id="2"/>
      <w:r>
        <w:rPr>
          <w:sz w:val="20"/>
          <w:szCs w:val="20"/>
        </w:rPr>
        <w:t>ЦЕНЫ (ТАРИФЫ)</w:t>
      </w:r>
    </w:p>
    <w:p w:rsidR="003804C0" w:rsidRDefault="003804C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ЭЛЕКТРИЧЕСКУЮ ЭНЕРГИЮ ДЛЯ НАСЕЛЕНИЯ И </w:t>
      </w:r>
      <w:proofErr w:type="gramStart"/>
      <w:r>
        <w:rPr>
          <w:sz w:val="20"/>
          <w:szCs w:val="20"/>
        </w:rPr>
        <w:t>ПРИРАВНЕННЫХ</w:t>
      </w:r>
      <w:proofErr w:type="gramEnd"/>
      <w:r>
        <w:rPr>
          <w:sz w:val="20"/>
          <w:szCs w:val="20"/>
        </w:rPr>
        <w:t xml:space="preserve"> К НЕМУ</w:t>
      </w:r>
    </w:p>
    <w:p w:rsidR="003804C0" w:rsidRDefault="003804C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КАТЕГОРИЙ ПОТРЕБИТЕЛЕЙ ПО МУРМАНСКОЙ ОБЛАСТИ НА 2013 ГОД</w:t>
      </w:r>
    </w:p>
    <w:p w:rsidR="003804C0" w:rsidRDefault="003804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720"/>
        <w:gridCol w:w="1440"/>
        <w:gridCol w:w="1440"/>
        <w:gridCol w:w="1560"/>
      </w:tblGrid>
      <w:tr w:rsidR="003804C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Показатель (группы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потребителей с разбивкой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ставкам и дифференциацией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по зонам суток)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Цена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(тариф)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 1 января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 30 июня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2013 г.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Цена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(тариф)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 1 июля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31 декабря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2013 г.  </w:t>
            </w:r>
          </w:p>
        </w:tc>
      </w:tr>
      <w:tr w:rsidR="003804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</w:tr>
      <w:tr w:rsidR="003804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8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42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указываются с учетом НДС) </w:t>
            </w:r>
            <w:hyperlink w:anchor="Par1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3804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 </w:t>
            </w:r>
          </w:p>
        </w:tc>
        <w:tc>
          <w:tcPr>
            <w:tcW w:w="8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за исключением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указанного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hyperlink w:anchor="Par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пунктах 1.2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hyperlink w:anchor="Par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1.3</w:t>
              </w:r>
            </w:hyperlink>
          </w:p>
        </w:tc>
      </w:tr>
      <w:tr w:rsidR="003804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2,02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2,34</w:t>
            </w:r>
          </w:p>
        </w:tc>
      </w:tr>
      <w:tr w:rsidR="003804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8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</w:t>
            </w:r>
          </w:p>
        </w:tc>
      </w:tr>
      <w:tr w:rsidR="003804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2,62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3,04</w:t>
            </w:r>
          </w:p>
        </w:tc>
      </w:tr>
      <w:tr w:rsidR="003804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0,94</w:t>
            </w:r>
          </w:p>
        </w:tc>
      </w:tr>
      <w:tr w:rsidR="003804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</w:t>
            </w:r>
          </w:p>
        </w:tc>
        <w:tc>
          <w:tcPr>
            <w:tcW w:w="8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</w:t>
            </w:r>
          </w:p>
        </w:tc>
      </w:tr>
      <w:tr w:rsidR="003804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4,29</w:t>
            </w:r>
          </w:p>
        </w:tc>
      </w:tr>
      <w:tr w:rsidR="003804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2,02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2,34</w:t>
            </w:r>
          </w:p>
        </w:tc>
      </w:tr>
      <w:tr w:rsidR="003804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0,94</w:t>
            </w:r>
          </w:p>
        </w:tc>
      </w:tr>
      <w:tr w:rsidR="003804C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 </w:t>
            </w:r>
          </w:p>
        </w:tc>
        <w:tc>
          <w:tcPr>
            <w:tcW w:w="8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62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проживающее в городских населенных пунктах в домах,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оборудованных в установленном порядке стационарными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электроплитами и (или) электроотопительными установками </w:t>
            </w:r>
            <w:hyperlink w:anchor="Par12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3804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1,414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1,989</w:t>
            </w:r>
          </w:p>
        </w:tc>
      </w:tr>
      <w:tr w:rsidR="003804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8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</w:t>
            </w:r>
          </w:p>
        </w:tc>
      </w:tr>
      <w:tr w:rsidR="003804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1,834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2,584</w:t>
            </w:r>
          </w:p>
        </w:tc>
      </w:tr>
      <w:tr w:rsidR="003804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0,567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0,799</w:t>
            </w:r>
          </w:p>
        </w:tc>
      </w:tr>
      <w:tr w:rsidR="003804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1.2.3</w:t>
            </w:r>
          </w:p>
        </w:tc>
        <w:tc>
          <w:tcPr>
            <w:tcW w:w="8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</w:t>
            </w:r>
          </w:p>
        </w:tc>
      </w:tr>
      <w:tr w:rsidR="003804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2,59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3,643</w:t>
            </w:r>
          </w:p>
        </w:tc>
      </w:tr>
      <w:tr w:rsidR="003804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1,414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1,989</w:t>
            </w:r>
          </w:p>
        </w:tc>
      </w:tr>
      <w:tr w:rsidR="003804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0,567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0,798</w:t>
            </w:r>
          </w:p>
        </w:tc>
      </w:tr>
      <w:tr w:rsidR="003804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1.3 </w:t>
            </w:r>
          </w:p>
        </w:tc>
        <w:tc>
          <w:tcPr>
            <w:tcW w:w="8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82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проживающее в сельских населенных пунктах           </w:t>
            </w:r>
          </w:p>
        </w:tc>
      </w:tr>
      <w:tr w:rsidR="003804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1,414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1,638</w:t>
            </w:r>
          </w:p>
        </w:tc>
      </w:tr>
      <w:tr w:rsidR="003804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8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</w:t>
            </w:r>
          </w:p>
        </w:tc>
      </w:tr>
      <w:tr w:rsidR="003804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1,834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2,125</w:t>
            </w:r>
          </w:p>
        </w:tc>
      </w:tr>
      <w:tr w:rsidR="003804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0,567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0,657</w:t>
            </w:r>
          </w:p>
        </w:tc>
      </w:tr>
      <w:tr w:rsidR="003804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1.3.3</w:t>
            </w:r>
          </w:p>
        </w:tc>
        <w:tc>
          <w:tcPr>
            <w:tcW w:w="8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</w:t>
            </w:r>
          </w:p>
        </w:tc>
      </w:tr>
      <w:tr w:rsidR="003804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2,59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3,000</w:t>
            </w:r>
          </w:p>
        </w:tc>
      </w:tr>
      <w:tr w:rsidR="003804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1,414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1,638</w:t>
            </w:r>
          </w:p>
        </w:tc>
      </w:tr>
      <w:tr w:rsidR="003804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0,567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0,657</w:t>
            </w:r>
          </w:p>
        </w:tc>
      </w:tr>
      <w:tr w:rsidR="003804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100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приравненные к населению (тарифы указываются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учетом НДС) </w:t>
            </w:r>
            <w:hyperlink w:anchor="Par12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  <w:tr w:rsidR="003804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2,02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2,34</w:t>
            </w:r>
          </w:p>
        </w:tc>
      </w:tr>
      <w:tr w:rsidR="003804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2.2 </w:t>
            </w:r>
          </w:p>
        </w:tc>
        <w:tc>
          <w:tcPr>
            <w:tcW w:w="8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</w:t>
            </w:r>
          </w:p>
        </w:tc>
      </w:tr>
      <w:tr w:rsidR="003804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2,62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3,04</w:t>
            </w:r>
          </w:p>
        </w:tc>
      </w:tr>
      <w:tr w:rsidR="003804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0,94</w:t>
            </w:r>
          </w:p>
        </w:tc>
      </w:tr>
      <w:tr w:rsidR="003804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2.3 </w:t>
            </w:r>
          </w:p>
        </w:tc>
        <w:tc>
          <w:tcPr>
            <w:tcW w:w="8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</w:t>
            </w:r>
          </w:p>
        </w:tc>
      </w:tr>
      <w:tr w:rsidR="003804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4,29</w:t>
            </w:r>
          </w:p>
        </w:tc>
      </w:tr>
      <w:tr w:rsidR="003804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2,02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2,34</w:t>
            </w:r>
          </w:p>
        </w:tc>
      </w:tr>
      <w:tr w:rsidR="003804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0" w:rsidRDefault="003804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0,94</w:t>
            </w:r>
          </w:p>
        </w:tc>
      </w:tr>
    </w:tbl>
    <w:p w:rsidR="003804C0" w:rsidRDefault="003804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04C0" w:rsidRDefault="003804C0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3804C0" w:rsidRDefault="003804C0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 к приложению:</w:t>
      </w:r>
    </w:p>
    <w:p w:rsidR="003804C0" w:rsidRDefault="003804C0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22"/>
      <w:bookmarkEnd w:id="7"/>
      <w:r>
        <w:t xml:space="preserve">&lt;1&gt; 1. Тарифы на электрическую энергию, установленные в </w:t>
      </w:r>
      <w:hyperlink w:anchor="Par42" w:history="1">
        <w:r>
          <w:rPr>
            <w:color w:val="0000FF"/>
          </w:rPr>
          <w:t>пункте 1</w:t>
        </w:r>
      </w:hyperlink>
      <w:r>
        <w:t xml:space="preserve"> приложения, распространяются на следующих приравненных к категории "Население" потребителей:</w:t>
      </w:r>
    </w:p>
    <w:p w:rsidR="003804C0" w:rsidRDefault="003804C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исполнителей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>
        <w:t>наймодателей</w:t>
      </w:r>
      <w:proofErr w:type="spellEnd"/>
      <w:r>
        <w:t xml:space="preserve"> (или уполномоченных ими лиц), предоставляющих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t xml:space="preserve"> для социальной защиты отдельных категорий граждан, приобретающих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деятельности;</w:t>
      </w:r>
    </w:p>
    <w:p w:rsidR="003804C0" w:rsidRDefault="003804C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гарантирующих поставщиков, энергосбытовых, </w:t>
      </w:r>
      <w:proofErr w:type="spellStart"/>
      <w:r>
        <w:t>энергоснабжающих</w:t>
      </w:r>
      <w:proofErr w:type="spellEnd"/>
      <w:r>
        <w:t xml:space="preserve"> организаций, приобретающих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деятельности.</w:t>
      </w:r>
      <w:proofErr w:type="gramEnd"/>
    </w:p>
    <w:p w:rsidR="003804C0" w:rsidRDefault="003804C0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25"/>
      <w:bookmarkEnd w:id="8"/>
      <w:r>
        <w:t xml:space="preserve">&lt;2&gt; 2. </w:t>
      </w:r>
      <w:proofErr w:type="gramStart"/>
      <w:r>
        <w:t xml:space="preserve">В соответствии с </w:t>
      </w:r>
      <w:hyperlink r:id="rId13" w:history="1">
        <w:r>
          <w:rPr>
            <w:color w:val="0000FF"/>
          </w:rPr>
          <w:t>пунктом 71</w:t>
        </w:r>
      </w:hyperlink>
      <w: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1178, тарифы на электрическую энергию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 (</w:t>
      </w:r>
      <w:hyperlink w:anchor="Par62" w:history="1">
        <w:r>
          <w:rPr>
            <w:color w:val="0000FF"/>
          </w:rPr>
          <w:t>пункт 1.2</w:t>
        </w:r>
      </w:hyperlink>
      <w:r>
        <w:t xml:space="preserve"> приложения), установлены с применением понижающих коэффициентов с 1 января 2013 года - в</w:t>
      </w:r>
      <w:proofErr w:type="gramEnd"/>
      <w:r>
        <w:t xml:space="preserve"> </w:t>
      </w:r>
      <w:proofErr w:type="gramStart"/>
      <w:r>
        <w:t>размере</w:t>
      </w:r>
      <w:proofErr w:type="gramEnd"/>
      <w:r>
        <w:t xml:space="preserve"> 0,7; с 1 июля 2013 года - в размере 0,85.</w:t>
      </w:r>
    </w:p>
    <w:p w:rsidR="003804C0" w:rsidRDefault="003804C0">
      <w:pPr>
        <w:widowControl w:val="0"/>
        <w:autoSpaceDE w:val="0"/>
        <w:autoSpaceDN w:val="0"/>
        <w:adjustRightInd w:val="0"/>
        <w:ind w:firstLine="540"/>
        <w:jc w:val="both"/>
      </w:pPr>
      <w:r>
        <w:t>Тарифы на электрическую энергию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 (</w:t>
      </w:r>
      <w:hyperlink w:anchor="Par62" w:history="1">
        <w:r>
          <w:rPr>
            <w:color w:val="0000FF"/>
          </w:rPr>
          <w:t>пункт 1.2</w:t>
        </w:r>
      </w:hyperlink>
      <w:r>
        <w:t xml:space="preserve"> приложения), распространяются также на население, проживающее в многоквартирных жилых домах, не оборудованных газовыми плитами.</w:t>
      </w:r>
    </w:p>
    <w:p w:rsidR="003804C0" w:rsidRDefault="003804C0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27"/>
      <w:bookmarkEnd w:id="9"/>
      <w:r>
        <w:t xml:space="preserve">&lt;3&gt; 3. Тарифы на электрическую энергию, установленные в </w:t>
      </w:r>
      <w:hyperlink w:anchor="Par100" w:history="1">
        <w:r>
          <w:rPr>
            <w:color w:val="0000FF"/>
          </w:rPr>
          <w:t>пункте 2</w:t>
        </w:r>
      </w:hyperlink>
      <w:r>
        <w:t xml:space="preserve"> приложения, распространяются на следующих приравненных к категории "Население" потребителей:</w:t>
      </w:r>
    </w:p>
    <w:p w:rsidR="003804C0" w:rsidRDefault="003804C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садоводческих, огороднических или дачных некоммерческих объединений граждан - некоммерческих организаций, учрежденных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</w:t>
      </w:r>
      <w:proofErr w:type="gramEnd"/>
    </w:p>
    <w:p w:rsidR="003804C0" w:rsidRDefault="003804C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юридических лиц, в части приобретаемого объема электрической энергии (мощности) в целях потребления осужденными в помещениях для их содержания при условии наличия раздельного учета для указанных помещений;</w:t>
      </w:r>
    </w:p>
    <w:p w:rsidR="003804C0" w:rsidRDefault="003804C0">
      <w:pPr>
        <w:widowControl w:val="0"/>
        <w:autoSpaceDE w:val="0"/>
        <w:autoSpaceDN w:val="0"/>
        <w:adjustRightInd w:val="0"/>
        <w:ind w:firstLine="540"/>
        <w:jc w:val="both"/>
      </w:pPr>
      <w:r>
        <w:t>- юридических и физических лиц,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(купли-продажи) по общему счетчику;</w:t>
      </w:r>
    </w:p>
    <w:p w:rsidR="003804C0" w:rsidRDefault="003804C0">
      <w:pPr>
        <w:widowControl w:val="0"/>
        <w:autoSpaceDE w:val="0"/>
        <w:autoSpaceDN w:val="0"/>
        <w:adjustRightInd w:val="0"/>
        <w:ind w:firstLine="540"/>
        <w:jc w:val="both"/>
      </w:pPr>
      <w:r>
        <w:t>- содержащихся за счет прихожан религиозных организаций;</w:t>
      </w:r>
    </w:p>
    <w:p w:rsidR="003804C0" w:rsidRDefault="003804C0">
      <w:pPr>
        <w:widowControl w:val="0"/>
        <w:autoSpaceDE w:val="0"/>
        <w:autoSpaceDN w:val="0"/>
        <w:adjustRightInd w:val="0"/>
        <w:ind w:firstLine="540"/>
        <w:jc w:val="both"/>
      </w:pPr>
      <w:r>
        <w:t>- физических лиц, приобретающих электрическую энергию для энергоснабжения хозяйственных построек (погреба, сараи и иные сооружения аналогичного назначения);</w:t>
      </w:r>
    </w:p>
    <w:p w:rsidR="003804C0" w:rsidRDefault="003804C0">
      <w:pPr>
        <w:widowControl w:val="0"/>
        <w:autoSpaceDE w:val="0"/>
        <w:autoSpaceDN w:val="0"/>
        <w:adjustRightInd w:val="0"/>
        <w:ind w:firstLine="540"/>
        <w:jc w:val="both"/>
      </w:pPr>
      <w:r>
        <w:t>- некоммерческих объединений граждан (гаражно-строительные, гаражные кооперативы) и граждан, которым принадлежат отдельно стоящие гаражи,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деятельности.</w:t>
      </w:r>
    </w:p>
    <w:p w:rsidR="003804C0" w:rsidRDefault="003804C0">
      <w:pPr>
        <w:widowControl w:val="0"/>
        <w:autoSpaceDE w:val="0"/>
        <w:autoSpaceDN w:val="0"/>
        <w:adjustRightInd w:val="0"/>
        <w:jc w:val="both"/>
      </w:pPr>
    </w:p>
    <w:p w:rsidR="003804C0" w:rsidRDefault="003804C0">
      <w:pPr>
        <w:widowControl w:val="0"/>
        <w:autoSpaceDE w:val="0"/>
        <w:autoSpaceDN w:val="0"/>
        <w:adjustRightInd w:val="0"/>
        <w:jc w:val="both"/>
      </w:pPr>
    </w:p>
    <w:p w:rsidR="003804C0" w:rsidRDefault="003804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91775E" w:rsidRDefault="0091775E"/>
    <w:sectPr w:rsidR="0091775E" w:rsidSect="0038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C0"/>
    <w:rsid w:val="003804C0"/>
    <w:rsid w:val="004511EA"/>
    <w:rsid w:val="0091775E"/>
    <w:rsid w:val="00E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804C0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3804C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804C0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3804C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E2BB4225EB1D90CD4E42B317386AD0E542A3FB47824E82F7A562C48A6432B669E07163E53C484xBV5O" TargetMode="External"/><Relationship Id="rId13" Type="http://schemas.openxmlformats.org/officeDocument/2006/relationships/hyperlink" Target="consultantplus://offline/ref=857E2BB4225EB1D90CD4E42B317386AD0E542A3FB47824E82F7A562C48A6432B669E07163E53C480xBV0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7E2BB4225EB1D90CD4E42B317386AD0E532E3EB37824E82F7A562C48xAV6O" TargetMode="External"/><Relationship Id="rId12" Type="http://schemas.openxmlformats.org/officeDocument/2006/relationships/hyperlink" Target="consultantplus://offline/ref=857E2BB4225EB1D90CD4FA26271FD8A8085B7436B1732BBA70250D711FAF497C21D15E547A5EC184B4BC6Ex1V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7E2BB4225EB1D90CD4E42B317386AD0D572E39BB7079E227235A2Ex4VFO" TargetMode="External"/><Relationship Id="rId11" Type="http://schemas.openxmlformats.org/officeDocument/2006/relationships/hyperlink" Target="consultantplus://offline/ref=857E2BB4225EB1D90CD4E42B317386AD0E532D3FB77224E82F7A562C48A6432B669E07163E53C080xBV3O" TargetMode="External"/><Relationship Id="rId5" Type="http://schemas.openxmlformats.org/officeDocument/2006/relationships/hyperlink" Target="consultantplus://offline/ref=857E2BB4225EB1D90CD4E42B317386AD0E542A39B57E24E82F7A562C48xAV6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7E2BB4225EB1D90CD4E42B317386AD0E512C32B07F24E82F7A562C48xAV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7E2BB4225EB1D90CD4E42B317386AD0E522E3FB77E24E82F7A562C48xAV6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1590</Words>
  <Characters>9066</Characters>
  <Application>Microsoft Office Word</Application>
  <DocSecurity>0</DocSecurity>
  <Lines>75</Lines>
  <Paragraphs>21</Paragraphs>
  <ScaleCrop>false</ScaleCrop>
  <Company/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2013-02-04T14:21:00Z</dcterms:created>
  <dcterms:modified xsi:type="dcterms:W3CDTF">2013-02-04T14:22:00Z</dcterms:modified>
</cp:coreProperties>
</file>