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февраля 2013 г. N 2/4-п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РЕАЛИЗУЕМУЮ</w:t>
      </w:r>
      <w:proofErr w:type="gramEnd"/>
      <w:r>
        <w:rPr>
          <w:rFonts w:ascii="Calibri" w:hAnsi="Calibri" w:cs="Calibri"/>
          <w:b/>
          <w:bCs/>
        </w:rPr>
        <w:t xml:space="preserve"> ООО "РУСЭНЕРГОСБЫТ" ПОКУПАТЕЛЯМ, КРОМЕ НАСЕЛЕНИЯ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ПОТРЕБИТЕЛЕЙ, ПРИРАВНЕННЫХ К КАТЕГОРИИ "НАСЕЛЕНИЕ",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ЕВРЕЙСКОЙ АВТОНОМНОЙ ОБЛАСТИ, НА 2013 ГОД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  <w:proofErr w:type="gramEnd"/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13.08.2013 N 22/6-п)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30.12.2012 N 1482 "О внесении изменений в акты Правительства Российской Федерации по вопросам изменения процедуры смены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</w:t>
      </w:r>
      <w:proofErr w:type="gramEnd"/>
      <w:r>
        <w:rPr>
          <w:rFonts w:ascii="Calibri" w:hAnsi="Calibri" w:cs="Calibri"/>
        </w:rPr>
        <w:t>, утвержденным постановлением правительства Еврейской автономной области от 26.05.2009 N 169-пп, на основании решения Правления комитета тарифов и цен от 08.02.2013 N 2/4-р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купли-продажи, на 2013 год с календарной разбивкой согласно приложению N 1.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32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 договорам энергоснабжения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на 2013 год с календарной разбивкой согласно приложению</w:t>
      </w:r>
      <w:proofErr w:type="gramEnd"/>
      <w:r>
        <w:rPr>
          <w:rFonts w:ascii="Calibri" w:hAnsi="Calibri" w:cs="Calibri"/>
        </w:rPr>
        <w:t xml:space="preserve"> N 2.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8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(мощность), поставляемую ООО "Русэнергосбыт" покупателям на территории Еврейской автономной области, за исключением электрической энергии (мощности), поставляемой населению и приравненным к нему категориям потребителей, по договорам энергоснабжения, на 2013 год с календарной разбивкой согласно приложению N 3.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25.12.2012 N 32/8-п "Об установлении тарифов на электрическую энергию, реализуемую ООО "Русэнергосбыт" покупателям, кроме населения и потребителей, приравненных к категории "население", на территории Еврейской автономной области, на 2013 год".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Настоящий приказ </w:t>
      </w:r>
      <w:proofErr w:type="gramStart"/>
      <w:r>
        <w:rPr>
          <w:rFonts w:ascii="Calibri" w:hAnsi="Calibri" w:cs="Calibri"/>
        </w:rPr>
        <w:t>вступает в силу со дня его официального опубликования и распространяется</w:t>
      </w:r>
      <w:proofErr w:type="gramEnd"/>
      <w:r>
        <w:rPr>
          <w:rFonts w:ascii="Calibri" w:hAnsi="Calibri" w:cs="Calibri"/>
        </w:rPr>
        <w:t xml:space="preserve"> на правоотношения, возникшие с 1 января 2013 года.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08.02.2013 N 2/4-п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ТАРИФЫ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ТЕРРИТОРИИ ЕВРЕЙСКОЙ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АВТОНОМНОЙ ОБЛАСТИ, ЗА ИСКЛЮЧЕНИЕМ ЭЛЕКТРИЧЕСКОЙ ЭНЕРГИИ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КУПЛИ-ПРОДАЖИ,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1"/>
        <w:gridCol w:w="3813"/>
        <w:gridCol w:w="1845"/>
        <w:gridCol w:w="1599"/>
        <w:gridCol w:w="1599"/>
      </w:tblGrid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тарифа по ставкам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дифференциацией по зонам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суток)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Цена (тариф)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полугодие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полугодие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 тариф, дифференцированный по подгруппам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максимальной мощности энергопринимающих устройств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1622,26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1945,41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1604,53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1912,23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1540,56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1792,46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1483,93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1686,43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218,23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408,58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200,50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375,40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136,53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255,63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79,90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149,60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Трехставочный тариф, дифференцированный по подгруппам 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максимальной мощности энергопринимающих устройств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электроэнергии (мощности)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490555,86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512635,75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446492,70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498441,38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энергопринимающих устройств, применяемая к ставке  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электрической энергии трехставочного тарифа: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107,79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193,75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99,04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178,01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67,44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121,22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39,47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70,94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2.4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энергопринимающих устройств, применяемая к ставке  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 расчетной  мощности  трехставочного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тарифа: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76324,51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136584,70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70125,88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125492,10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47752,39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85454,14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27946,00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50010,09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Тарифы,  дифференцированные  по  трем  зонам  суток  и   подгруппам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 с  учетом  максимальной  мощности  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</w:t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ночная зона,  дифференцированная  по  подгруппам  потребителей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802,04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924,26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793,29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908,52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761,69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851,73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733,72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801,45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107,79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193,75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99,04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178,01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67,44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121,22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39,47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70,94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3.2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полупиковая зона, дифференцированная по подгруппам потребителей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1622,26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1945,41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1604,53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1912,23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1540,56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1792,46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1483,93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1686,43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218,23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408,58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200,50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375,40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136,53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255,63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79,90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149,60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пиковая зона, дифференцированная  по  подгруппам  потребителей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3126,14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3872,28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3091,97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3806,18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2968,65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3567,58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2859,47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3356,35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2704,00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3055,00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420,71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813,96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386,54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747,86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263,22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509,26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154,04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298,03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Тарифы,  дифференцированные  по  двум  зонам  суток  и   подгруппам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  с  учетом  максимальной  мощности  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</w:t>
            </w:r>
            <w:hyperlink w:anchor="Par3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ночная зона,  дифференцированная  по  подгруппам  потребителей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802,04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924,26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793,29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908,52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761,69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851,73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733,72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801,45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692,82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727,19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4.1.3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107,79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193,75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99,04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178,01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67,44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121,22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39,47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70,94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 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дневная  зона  (пиковая  и  полупиковая), 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2245,58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2774,28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2221,04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2726,94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2132,47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2556,05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2054,06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2404,77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1942,00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2188,00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</w:t>
            </w:r>
            <w:hyperlink w:anchor="Par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1402,60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1533,51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</w:t>
            </w:r>
            <w:hyperlink w:anchor="Par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1,43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8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сбытовая надбавка гарантирующего поставщика, дифференцированная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подгруппам   потребителей   с    учетом    максимальной   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302,15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582,96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277,61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535,62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189,04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364,73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110,63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213,45   </w:t>
            </w:r>
          </w:p>
        </w:tc>
      </w:tr>
    </w:tbl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11"/>
      <w:bookmarkEnd w:id="1"/>
      <w:r>
        <w:rPr>
          <w:rFonts w:ascii="Calibri" w:hAnsi="Calibri" w:cs="Calibri"/>
        </w:rPr>
        <w:t xml:space="preserve">&lt;1&gt; Сумма тарифов на услуги, оказание которых является неотъемлемой частью процесса снабжения электрической энергией потребителей и размер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12"/>
      <w:bookmarkEnd w:id="2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13"/>
      <w:bookmarkEnd w:id="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трансляции стоимости покупки электрической энергии (мощности)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тарифов и цен правительства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08.02.2013 N 2/4-п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25"/>
      <w:bookmarkEnd w:id="4"/>
      <w:r>
        <w:rPr>
          <w:rFonts w:ascii="Calibri" w:hAnsi="Calibri" w:cs="Calibri"/>
          <w:b/>
          <w:bCs/>
        </w:rPr>
        <w:t>ТАРИФЫ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 ДОГОВОРАМ ЭНЕРГОСНАБЖЕНИЯ ПОКУПАТЕЛЯМ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ОБЛАСТИ, ЗА ИСКЛЮЧЕНИЕМ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УСЛУГИ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(МОЩНОСТИ) КОТОРЫМ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 ЭЛЕКТРОСЕТЕВОГО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ХОЗЯЙСТВА, ВХОДЯЩИХ В </w:t>
      </w:r>
      <w:proofErr w:type="gramStart"/>
      <w:r>
        <w:rPr>
          <w:rFonts w:ascii="Calibri" w:hAnsi="Calibri" w:cs="Calibri"/>
          <w:b/>
          <w:bCs/>
        </w:rPr>
        <w:t>ЕДИНУЮ</w:t>
      </w:r>
      <w:proofErr w:type="gramEnd"/>
      <w:r>
        <w:rPr>
          <w:rFonts w:ascii="Calibri" w:hAnsi="Calibri" w:cs="Calibri"/>
          <w:b/>
          <w:bCs/>
        </w:rPr>
        <w:t xml:space="preserve"> НАЦИОНАЛЬНУЮ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(ОБЩЕРОССИЙСКУЮ) ЭЛЕКТРИЧЕСКУЮ СЕТЬ, НА 2013 ГОД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9"/>
        <w:gridCol w:w="1746"/>
        <w:gridCol w:w="1164"/>
        <w:gridCol w:w="1067"/>
        <w:gridCol w:w="582"/>
        <w:gridCol w:w="679"/>
        <w:gridCol w:w="388"/>
        <w:gridCol w:w="1067"/>
        <w:gridCol w:w="582"/>
        <w:gridCol w:w="679"/>
        <w:gridCol w:w="388"/>
      </w:tblGrid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(группы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потребителей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разбивкой тарифа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ставкам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дифференциацией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зонам суток) 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полугодие      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полугодие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Диапазоны напряжения  </w:t>
            </w:r>
          </w:p>
        </w:tc>
        <w:tc>
          <w:tcPr>
            <w:tcW w:w="2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Диапазоны напряжения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Одноставочный тариф, дифференцированный по подгруппам потребителей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 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218,23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408,58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200,50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375,40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136,53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255,63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79,90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149,60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Трехставочный тариф, дифференцированный по подгруппам потребителей с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электрической энергии (мощности)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490555,86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512635,75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446492,70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498441,38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энергии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энергии оптового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рынка </w:t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 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устройств,  применяемая  к  ставке   средневзвешенной   стоимости   единицы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трехставочного тарифа: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107,79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193,75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99,04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178,01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67,44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121,22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39,47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70,94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устройств,  применяемая  к  ставке   средневзвешенной   стоимости   единицы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мощности трехставочного тарифа: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76324,51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136584,70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70125,88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125492,10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47752,39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85454,14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27946,00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50010,09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Тарифы, дифференцированные по трем зонам суток и подгруппам потребителей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учетом максимальной мощности энергопринимающих устройств </w:t>
            </w:r>
            <w:hyperlink w:anchor="Par8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ночная зона,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3.1.1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3.1.2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3.1.4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107,79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193,75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99,04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178,01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67,44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121,22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39,47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70,94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полупиковая зона, дифференцированная по подгруппам потребителей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3.2.1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3.2.2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3.2.4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218,23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408,58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200,50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375,40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136,53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255,63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79,90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149,60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пиковая зона,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3.3.1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2704,00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3055,00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3.3.2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3.3.4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420,71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813,96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386,54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747,86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263,22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509,26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свыше 10 МВт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154,04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298,03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Тарифы, дифференцированные по двум зонам суток и подгруппам потребителей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учетом максимальной мощности энергопринимающих устройств </w:t>
            </w:r>
            <w:hyperlink w:anchor="Par8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ночная зона,  дифференцированная  по  подгруппам  потребителей  с  учетом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максимальной мощности энергопринимающих устройств: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4.1.1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692,82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727,19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4.1.2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4.1.4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107,79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193,75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99,04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178,01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67,44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121,22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39,47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70,94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  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дневная зона (пиковая и полупиковая),  дифференцированная  по  подгруппам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потребителей с учетом максимальной мощности энергопринимающих устройств: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x 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4.2.1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средневзвешенная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1942,00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2188,00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1533,51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4.2.2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передаче  единицы  электрической  энергии  (мощности)  по  единой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национальной (общероссийской) электрической сети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единую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национальную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ес.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оплату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нормативных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потерь &lt;4&gt;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1712,60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4.2.3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инфраструктурные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платежи </w:t>
            </w:r>
            <w:hyperlink w:anchor="Par8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1,43 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3,321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4.2.4</w:t>
            </w:r>
          </w:p>
        </w:tc>
        <w:tc>
          <w:tcPr>
            <w:tcW w:w="83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сбытовая  надбавка   гарантирующего   поставщика,   дифференцированная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подгруппам потребителей с учетом  максимальной  мощности  энергопринимающих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менее 150 кВт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302,15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582,96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150 кВт до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670 кВт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277,61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535,62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670 кВт до 10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МВт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189,04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364,73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10 МВт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110,63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213,45  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7"/>
      <w:bookmarkEnd w:id="5"/>
      <w:r>
        <w:rPr>
          <w:rFonts w:ascii="Calibri" w:hAnsi="Calibri" w:cs="Calibri"/>
        </w:rPr>
        <w:t xml:space="preserve">&lt;1&gt; Сумма тарифов на услуги, оказание которых является неотъемлемой частью процесса снабжения электрической энергией потребителей и размер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которые в соответствии с законодательством Российской Федерации подлежит государственному регулированию, за исключением услуг по передаче электрической энергии.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8"/>
      <w:bookmarkEnd w:id="6"/>
      <w:r>
        <w:rPr>
          <w:rFonts w:ascii="Calibri" w:hAnsi="Calibri" w:cs="Calibri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9"/>
      <w:bookmarkEnd w:id="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трансляции стоимости покупки электрической энергии (мощности)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08.02.2013 N 2/4-п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348DA" w:rsidSect="009C4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31"/>
      <w:bookmarkEnd w:id="8"/>
      <w:r>
        <w:rPr>
          <w:rFonts w:ascii="Calibri" w:hAnsi="Calibri" w:cs="Calibri"/>
          <w:b/>
          <w:bCs/>
        </w:rPr>
        <w:t>ТАРИФЫ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 ООО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"РУСЭНЕРГОСБЫТ" ПОКУПАТЕЛЯМ НА ТЕРРИТОРИИ ЕВРЕЙСКОЙ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АВТОНОМНОЙ ОБЛАСТИ, ЗА ИСКЛЮЧЕНИЕМ ЭЛЕКТРИЧЕСКОЙ ЭНЕРГИИ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ПО ДОГОВОРАМ ЭНЕРГОСНАБЖЕНИЯ,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  <w:proofErr w:type="gramEnd"/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13.08.2013 N 22/6-п)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4"/>
        <w:gridCol w:w="2214"/>
        <w:gridCol w:w="1476"/>
        <w:gridCol w:w="492"/>
        <w:gridCol w:w="738"/>
        <w:gridCol w:w="861"/>
        <w:gridCol w:w="492"/>
        <w:gridCol w:w="1599"/>
        <w:gridCol w:w="1599"/>
        <w:gridCol w:w="1722"/>
        <w:gridCol w:w="1599"/>
      </w:tblGrid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разбивкой тарифа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составляющим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зонам суток)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полугодие   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полугодие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напряжения   </w:t>
            </w:r>
          </w:p>
        </w:tc>
        <w:tc>
          <w:tcPr>
            <w:tcW w:w="6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Диапазоны напряжения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ВН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тариф, дифференцированный по подгруппам потребителей с учетом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3,475051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3,830441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4,079471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4,303381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3,441871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3,797261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4,046291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4,270201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3,322101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3,677491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3,926521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4,150431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3,216071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3,571461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3,820491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4,044401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1,52964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1,88503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2,13406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2,35797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91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Трехставочный тариф, дифференцированный по подгруппам потребителей с учетом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649,22045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649,22045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649,22045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649,22045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932,3509307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979,6191651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1065,4488299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701,0229334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0,977130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1,107145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1,292930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1,728013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638,12785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638,12785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638,12785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638,12785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932,3509307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979,6191651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1065,4488299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701,0229334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0,961390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1,091405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1,277190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1,712273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598,08989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598,08989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598,08989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598,08989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932,3509307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979,6191651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1065,4488299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701,0229334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0,904600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1,034615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1,220400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1,655483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562,64584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562,64584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562,64584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562,64584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932,3509307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979,6191651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1065,4488299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701,0229334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0,854320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0,984335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1,170120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1,605203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электрической энергии (мощности)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512,63575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512,63575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512,63575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512,63575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498,44138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498,44138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498,44138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498,44138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средневзвешенной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энергии оптового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</w:t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электрической энергии (мощности)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единая ставка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сетей </w:t>
            </w:r>
            <w:hyperlink w:anchor="Par14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932,3509307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979,6191651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1065,4488299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701,0229334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единая ставка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оплату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расхода (потерь)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0,05287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0,18288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0,36867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0,80375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051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2.4.1.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05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устройств, применяемая к ставке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средневзвешенной стоимости единицы электрической энергии трехставочного тарифа: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0,193750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0,178010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0,121220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0,070940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0,070940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0,070940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2.4.2.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устройств, применяемая к ставке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средневзвешенной стоимости единицы электрической расчетной мощности трехставочного тарифа: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136,5847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136,5847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136,5847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136,5847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  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125,4921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125,4921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125,4921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125,4921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85,45414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85,45414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85,45414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85,45414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50,01009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50,01009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50,01009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50,01009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трем зонам суток и подгруппам потребителей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 </w:t>
            </w:r>
            <w:hyperlink w:anchor="Par14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мощности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2,453901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2,809291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3,058321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3,282231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2,438161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2,793551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3,042581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3,266491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2,381371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2,736761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2,985791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3,209701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2,331091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2,686481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2,935511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3,159421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1,52964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1,88503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2,13406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2,35797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3.1.4.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147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зона, дифференцированная по подгруппам потребителей с учетом максимальной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энергопринимающих устройств: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3,475051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3,830441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4,079471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4,303381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3,441871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3,797261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4,046291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4,270201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3,322101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3,677491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3,926521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4,150431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МВт 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3,216071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3,571461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3,820491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4,044401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1,52964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1,88503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2,13406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2,35797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3.2.4.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220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0,40858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0,37540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0,25563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0,14960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5,401921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5,757311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6,006341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6,230251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5,335821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5,691211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5,940241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6,164151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5,097221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5,452611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5,701641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5,925551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4,885991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5,241381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5,490411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5,714321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3.3.1.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3,055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3,055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3,055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3,055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3.3.2.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1,52964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1,88503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2,13406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2,35797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3.3.3.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3.3.4.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29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0,81396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0,81396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0,81396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0,81396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0,74786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0,74786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0,74786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0,74786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0,50926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0,50926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0,50926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0,50926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МВт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0,29803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0,29803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0,29803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0,29803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Одноставочные тарифы, дифференцированные по двум зонам суток и подгруппам потребителей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 </w:t>
            </w:r>
            <w:hyperlink w:anchor="Par14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зона, дифференцированная по подгруппам потребителей с учетом максимальной мощности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энергопринимающих устройств: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2,453901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2,809291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3,058321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3,282231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2,438161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2,793551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3,042581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3,266491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2,381371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2,736761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2,985791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3,209701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2,331091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2,686481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2,935511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3,159421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0,72719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1,52964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1,88503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2,13406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2,35797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4.1.3.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4.1.4.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369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0,19375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0,17801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0,12122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0,07094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(пиковая и полупиковая), дифференцированная по подгруппам потребителей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4,303921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4,659311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4,908341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5,132251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670 кВт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4,256581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4,611971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4,861001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5,084911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670 кВт до 10 МВт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4,085691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4,441081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4,690111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4,914021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                                         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энергии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</w:t>
            </w:r>
            <w:hyperlink w:anchor="Par1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3,934411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4,289801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4,538831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4,762741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4.2.1.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средневзвешенная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2,18800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2,18800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2,18800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2,18800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1,53351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4.2.2.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передаче 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1,52964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1,88503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2,13406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2,35797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4.2.3.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платежи </w:t>
            </w:r>
            <w:hyperlink w:anchor="Par1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0,003321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4.2.4.</w:t>
            </w:r>
          </w:p>
        </w:tc>
        <w:tc>
          <w:tcPr>
            <w:tcW w:w="127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144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поставщика, дифференцированная по подгруппам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максимальной мощности энергопринимающих устройств:                                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150 кВт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0,58296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0,58296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0,58296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0,58296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150 кВт до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670 кВт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0,53562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0,53562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0,53562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0,53562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670 кВт до 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МВт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0,36473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0,36473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0,36473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0,36473    </w:t>
            </w:r>
          </w:p>
        </w:tc>
      </w:tr>
      <w:tr w:rsidR="003348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 МВт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0,21345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0,21345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0,21345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DA" w:rsidRDefault="003348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0,21345    </w:t>
            </w:r>
          </w:p>
        </w:tc>
      </w:tr>
    </w:tbl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57"/>
      <w:bookmarkEnd w:id="17"/>
      <w:r>
        <w:rPr>
          <w:rFonts w:ascii="Calibri" w:hAnsi="Calibri" w:cs="Calibri"/>
        </w:rPr>
        <w:t>&lt;1&gt;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58"/>
      <w:bookmarkEnd w:id="18"/>
      <w:r>
        <w:rPr>
          <w:rFonts w:ascii="Calibri" w:hAnsi="Calibri" w:cs="Calibri"/>
        </w:rPr>
        <w:lastRenderedPageBreak/>
        <w:t>&lt;2&gt; Интервалы тарифных зон суток (по месяцам календарного года) утверждаются Федеральной службой по тарифам.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59"/>
      <w:bookmarkEnd w:id="19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60"/>
      <w:bookmarkEnd w:id="20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утверждении для энергоснабжающей, энергосбытовой организации включаются расходы на реализацию (сбыт) электрической энергии, а </w:t>
      </w:r>
      <w:hyperlink w:anchor="Par918" w:history="1">
        <w:r>
          <w:rPr>
            <w:rFonts w:ascii="Calibri" w:hAnsi="Calibri" w:cs="Calibri"/>
            <w:color w:val="0000FF"/>
          </w:rPr>
          <w:t>строки 1.4</w:t>
        </w:r>
      </w:hyperlink>
      <w:r>
        <w:rPr>
          <w:rFonts w:ascii="Calibri" w:hAnsi="Calibri" w:cs="Calibri"/>
        </w:rPr>
        <w:t xml:space="preserve">, </w:t>
      </w:r>
      <w:hyperlink w:anchor="Par1051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w:anchor="Par1054" w:history="1">
        <w:r>
          <w:rPr>
            <w:rFonts w:ascii="Calibri" w:hAnsi="Calibri" w:cs="Calibri"/>
            <w:color w:val="0000FF"/>
          </w:rPr>
          <w:t>2.4.1</w:t>
        </w:r>
      </w:hyperlink>
      <w:r>
        <w:rPr>
          <w:rFonts w:ascii="Calibri" w:hAnsi="Calibri" w:cs="Calibri"/>
        </w:rPr>
        <w:t xml:space="preserve">, </w:t>
      </w:r>
      <w:hyperlink w:anchor="Par1054" w:history="1">
        <w:r>
          <w:rPr>
            <w:rFonts w:ascii="Calibri" w:hAnsi="Calibri" w:cs="Calibri"/>
            <w:color w:val="0000FF"/>
          </w:rPr>
          <w:t>2.4.2</w:t>
        </w:r>
      </w:hyperlink>
      <w:r>
        <w:rPr>
          <w:rFonts w:ascii="Calibri" w:hAnsi="Calibri" w:cs="Calibri"/>
        </w:rPr>
        <w:t xml:space="preserve">, </w:t>
      </w:r>
      <w:hyperlink w:anchor="Par1147" w:history="1">
        <w:r>
          <w:rPr>
            <w:rFonts w:ascii="Calibri" w:hAnsi="Calibri" w:cs="Calibri"/>
            <w:color w:val="0000FF"/>
          </w:rPr>
          <w:t>3.1.4</w:t>
        </w:r>
      </w:hyperlink>
      <w:r>
        <w:rPr>
          <w:rFonts w:ascii="Calibri" w:hAnsi="Calibri" w:cs="Calibri"/>
        </w:rPr>
        <w:t xml:space="preserve">, </w:t>
      </w:r>
      <w:hyperlink w:anchor="Par1220" w:history="1">
        <w:r>
          <w:rPr>
            <w:rFonts w:ascii="Calibri" w:hAnsi="Calibri" w:cs="Calibri"/>
            <w:color w:val="0000FF"/>
          </w:rPr>
          <w:t>3.2.4</w:t>
        </w:r>
      </w:hyperlink>
      <w:r>
        <w:rPr>
          <w:rFonts w:ascii="Calibri" w:hAnsi="Calibri" w:cs="Calibri"/>
        </w:rPr>
        <w:t xml:space="preserve">, </w:t>
      </w:r>
      <w:hyperlink w:anchor="Par1293" w:history="1">
        <w:r>
          <w:rPr>
            <w:rFonts w:ascii="Calibri" w:hAnsi="Calibri" w:cs="Calibri"/>
            <w:color w:val="0000FF"/>
          </w:rPr>
          <w:t>3.3.4</w:t>
        </w:r>
      </w:hyperlink>
      <w:r>
        <w:rPr>
          <w:rFonts w:ascii="Calibri" w:hAnsi="Calibri" w:cs="Calibri"/>
        </w:rPr>
        <w:t xml:space="preserve">, </w:t>
      </w:r>
      <w:hyperlink w:anchor="Par1369" w:history="1">
        <w:r>
          <w:rPr>
            <w:rFonts w:ascii="Calibri" w:hAnsi="Calibri" w:cs="Calibri"/>
            <w:color w:val="0000FF"/>
          </w:rPr>
          <w:t>4.1.4</w:t>
        </w:r>
      </w:hyperlink>
      <w:r>
        <w:rPr>
          <w:rFonts w:ascii="Calibri" w:hAnsi="Calibri" w:cs="Calibri"/>
        </w:rPr>
        <w:t xml:space="preserve">, </w:t>
      </w:r>
      <w:hyperlink w:anchor="Par1442" w:history="1">
        <w:r>
          <w:rPr>
            <w:rFonts w:ascii="Calibri" w:hAnsi="Calibri" w:cs="Calibri"/>
            <w:color w:val="0000FF"/>
          </w:rPr>
          <w:t>4.2.4</w:t>
        </w:r>
      </w:hyperlink>
      <w:r>
        <w:rPr>
          <w:rFonts w:ascii="Calibri" w:hAnsi="Calibri" w:cs="Calibri"/>
        </w:rPr>
        <w:t xml:space="preserve"> не заполняются. В примечании указывается размер расходов на реализацию (сбыт) в руб./кВт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61"/>
      <w:bookmarkEnd w:id="21"/>
      <w:r>
        <w:rPr>
          <w:rFonts w:ascii="Calibri" w:hAnsi="Calibri" w:cs="Calibri"/>
        </w:rPr>
        <w:t xml:space="preserve">&lt;5&gt;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62"/>
      <w:bookmarkEnd w:id="22"/>
      <w:r>
        <w:rPr>
          <w:rFonts w:ascii="Calibri" w:hAnsi="Calibri" w:cs="Calibri"/>
        </w:rPr>
        <w:t xml:space="preserve">&lt;6&gt; Ставка стоимости единицы электрической мощности, определяемой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8DA" w:rsidRDefault="003348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681E" w:rsidRDefault="00AA681E"/>
    <w:sectPr w:rsidR="00AA681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348DA"/>
    <w:rsid w:val="000005AA"/>
    <w:rsid w:val="0000216F"/>
    <w:rsid w:val="00003B46"/>
    <w:rsid w:val="00004E7A"/>
    <w:rsid w:val="00005C14"/>
    <w:rsid w:val="00006F0E"/>
    <w:rsid w:val="000104AB"/>
    <w:rsid w:val="00013E35"/>
    <w:rsid w:val="000142C2"/>
    <w:rsid w:val="00014780"/>
    <w:rsid w:val="00016D41"/>
    <w:rsid w:val="00016F3B"/>
    <w:rsid w:val="000211BB"/>
    <w:rsid w:val="00025117"/>
    <w:rsid w:val="0002640A"/>
    <w:rsid w:val="00027232"/>
    <w:rsid w:val="00027805"/>
    <w:rsid w:val="00027867"/>
    <w:rsid w:val="000314C7"/>
    <w:rsid w:val="00033088"/>
    <w:rsid w:val="00037C41"/>
    <w:rsid w:val="00041A7C"/>
    <w:rsid w:val="00042450"/>
    <w:rsid w:val="00045434"/>
    <w:rsid w:val="00046079"/>
    <w:rsid w:val="000466C9"/>
    <w:rsid w:val="000521CE"/>
    <w:rsid w:val="00056A70"/>
    <w:rsid w:val="00056E2A"/>
    <w:rsid w:val="000628EF"/>
    <w:rsid w:val="0006354B"/>
    <w:rsid w:val="00064088"/>
    <w:rsid w:val="00064616"/>
    <w:rsid w:val="00065D1C"/>
    <w:rsid w:val="00072852"/>
    <w:rsid w:val="0007592C"/>
    <w:rsid w:val="0007602D"/>
    <w:rsid w:val="00077720"/>
    <w:rsid w:val="00077AAF"/>
    <w:rsid w:val="00080B15"/>
    <w:rsid w:val="000849C2"/>
    <w:rsid w:val="0008533E"/>
    <w:rsid w:val="00085757"/>
    <w:rsid w:val="00086A16"/>
    <w:rsid w:val="00087607"/>
    <w:rsid w:val="000900B8"/>
    <w:rsid w:val="00090DAA"/>
    <w:rsid w:val="0009412E"/>
    <w:rsid w:val="00095B83"/>
    <w:rsid w:val="00095F36"/>
    <w:rsid w:val="000968ED"/>
    <w:rsid w:val="0009725E"/>
    <w:rsid w:val="000A15BA"/>
    <w:rsid w:val="000A625E"/>
    <w:rsid w:val="000A63C0"/>
    <w:rsid w:val="000B3D44"/>
    <w:rsid w:val="000B6446"/>
    <w:rsid w:val="000C04E9"/>
    <w:rsid w:val="000C2740"/>
    <w:rsid w:val="000C2E8B"/>
    <w:rsid w:val="000C3000"/>
    <w:rsid w:val="000D05D4"/>
    <w:rsid w:val="000D0E23"/>
    <w:rsid w:val="000D1FC7"/>
    <w:rsid w:val="000D4B7D"/>
    <w:rsid w:val="000D5636"/>
    <w:rsid w:val="000D78EF"/>
    <w:rsid w:val="000D7E5A"/>
    <w:rsid w:val="000E105F"/>
    <w:rsid w:val="000E1CBB"/>
    <w:rsid w:val="000E319F"/>
    <w:rsid w:val="000E35E5"/>
    <w:rsid w:val="000E3AE4"/>
    <w:rsid w:val="000E4FCC"/>
    <w:rsid w:val="000E59B0"/>
    <w:rsid w:val="000E664D"/>
    <w:rsid w:val="000E6CC8"/>
    <w:rsid w:val="000F182A"/>
    <w:rsid w:val="000F1C03"/>
    <w:rsid w:val="000F2D28"/>
    <w:rsid w:val="000F3F91"/>
    <w:rsid w:val="000F5236"/>
    <w:rsid w:val="000F6C8D"/>
    <w:rsid w:val="001012C8"/>
    <w:rsid w:val="00103032"/>
    <w:rsid w:val="0010402B"/>
    <w:rsid w:val="00104076"/>
    <w:rsid w:val="001052AA"/>
    <w:rsid w:val="001052F8"/>
    <w:rsid w:val="001068B7"/>
    <w:rsid w:val="001075F8"/>
    <w:rsid w:val="00112B3A"/>
    <w:rsid w:val="0011635B"/>
    <w:rsid w:val="00117F14"/>
    <w:rsid w:val="001200FE"/>
    <w:rsid w:val="001201FD"/>
    <w:rsid w:val="00121523"/>
    <w:rsid w:val="00121E47"/>
    <w:rsid w:val="00123120"/>
    <w:rsid w:val="001231B3"/>
    <w:rsid w:val="0012351D"/>
    <w:rsid w:val="00124884"/>
    <w:rsid w:val="00130584"/>
    <w:rsid w:val="00130698"/>
    <w:rsid w:val="00130C32"/>
    <w:rsid w:val="00132870"/>
    <w:rsid w:val="00133003"/>
    <w:rsid w:val="0013750C"/>
    <w:rsid w:val="00140B4E"/>
    <w:rsid w:val="00144212"/>
    <w:rsid w:val="00144F37"/>
    <w:rsid w:val="001510D4"/>
    <w:rsid w:val="001535C3"/>
    <w:rsid w:val="00154D60"/>
    <w:rsid w:val="0015625B"/>
    <w:rsid w:val="001602B1"/>
    <w:rsid w:val="00160AAD"/>
    <w:rsid w:val="0016271B"/>
    <w:rsid w:val="00164391"/>
    <w:rsid w:val="00164E96"/>
    <w:rsid w:val="0016650D"/>
    <w:rsid w:val="00166D68"/>
    <w:rsid w:val="00166E06"/>
    <w:rsid w:val="00167090"/>
    <w:rsid w:val="0017000B"/>
    <w:rsid w:val="00170AF3"/>
    <w:rsid w:val="00171B2A"/>
    <w:rsid w:val="0017343B"/>
    <w:rsid w:val="0017519B"/>
    <w:rsid w:val="00180855"/>
    <w:rsid w:val="00181413"/>
    <w:rsid w:val="0018421D"/>
    <w:rsid w:val="001848D4"/>
    <w:rsid w:val="00185374"/>
    <w:rsid w:val="001863A6"/>
    <w:rsid w:val="00190AD7"/>
    <w:rsid w:val="00190F98"/>
    <w:rsid w:val="0019118D"/>
    <w:rsid w:val="00193153"/>
    <w:rsid w:val="0019401B"/>
    <w:rsid w:val="00196BA4"/>
    <w:rsid w:val="001A18B0"/>
    <w:rsid w:val="001A2918"/>
    <w:rsid w:val="001A2DB0"/>
    <w:rsid w:val="001A3529"/>
    <w:rsid w:val="001B0F6B"/>
    <w:rsid w:val="001B206A"/>
    <w:rsid w:val="001B28ED"/>
    <w:rsid w:val="001B5EAF"/>
    <w:rsid w:val="001B7A45"/>
    <w:rsid w:val="001C0524"/>
    <w:rsid w:val="001C055B"/>
    <w:rsid w:val="001C13C2"/>
    <w:rsid w:val="001C18D2"/>
    <w:rsid w:val="001C2048"/>
    <w:rsid w:val="001C3AC3"/>
    <w:rsid w:val="001C40F3"/>
    <w:rsid w:val="001C4713"/>
    <w:rsid w:val="001C7036"/>
    <w:rsid w:val="001D1DB0"/>
    <w:rsid w:val="001D377E"/>
    <w:rsid w:val="001D3C29"/>
    <w:rsid w:val="001D3CE3"/>
    <w:rsid w:val="001D463B"/>
    <w:rsid w:val="001D61E7"/>
    <w:rsid w:val="001D65A1"/>
    <w:rsid w:val="001D7C02"/>
    <w:rsid w:val="001D7C36"/>
    <w:rsid w:val="001E1A9D"/>
    <w:rsid w:val="001E2D53"/>
    <w:rsid w:val="001E3378"/>
    <w:rsid w:val="001E33AD"/>
    <w:rsid w:val="001E3A8C"/>
    <w:rsid w:val="001E50DF"/>
    <w:rsid w:val="001E5589"/>
    <w:rsid w:val="001E6DFA"/>
    <w:rsid w:val="001E7AD6"/>
    <w:rsid w:val="001F07CD"/>
    <w:rsid w:val="001F3332"/>
    <w:rsid w:val="001F5CDD"/>
    <w:rsid w:val="001F5E27"/>
    <w:rsid w:val="00200110"/>
    <w:rsid w:val="002015EF"/>
    <w:rsid w:val="0020371B"/>
    <w:rsid w:val="002062BC"/>
    <w:rsid w:val="00206CE7"/>
    <w:rsid w:val="00210A57"/>
    <w:rsid w:val="00211CB0"/>
    <w:rsid w:val="00211D4E"/>
    <w:rsid w:val="00213A68"/>
    <w:rsid w:val="0021480F"/>
    <w:rsid w:val="002172B2"/>
    <w:rsid w:val="00220631"/>
    <w:rsid w:val="00220953"/>
    <w:rsid w:val="0022170D"/>
    <w:rsid w:val="00223AF6"/>
    <w:rsid w:val="002268BB"/>
    <w:rsid w:val="0022782C"/>
    <w:rsid w:val="00236ADE"/>
    <w:rsid w:val="002374AB"/>
    <w:rsid w:val="00240386"/>
    <w:rsid w:val="00241C30"/>
    <w:rsid w:val="00243C80"/>
    <w:rsid w:val="00245CDC"/>
    <w:rsid w:val="00247604"/>
    <w:rsid w:val="00250444"/>
    <w:rsid w:val="00250899"/>
    <w:rsid w:val="00251F96"/>
    <w:rsid w:val="002539C8"/>
    <w:rsid w:val="00253DE3"/>
    <w:rsid w:val="00256E7B"/>
    <w:rsid w:val="002578A3"/>
    <w:rsid w:val="00261DDF"/>
    <w:rsid w:val="002635EA"/>
    <w:rsid w:val="002643C0"/>
    <w:rsid w:val="0026441B"/>
    <w:rsid w:val="00266137"/>
    <w:rsid w:val="00266253"/>
    <w:rsid w:val="0026713D"/>
    <w:rsid w:val="00267E9E"/>
    <w:rsid w:val="00271A3A"/>
    <w:rsid w:val="00272DE2"/>
    <w:rsid w:val="002748F8"/>
    <w:rsid w:val="00277258"/>
    <w:rsid w:val="00277D76"/>
    <w:rsid w:val="00281B8B"/>
    <w:rsid w:val="00281B92"/>
    <w:rsid w:val="00282A14"/>
    <w:rsid w:val="002833E5"/>
    <w:rsid w:val="00285846"/>
    <w:rsid w:val="00285FAA"/>
    <w:rsid w:val="0028614F"/>
    <w:rsid w:val="002929A5"/>
    <w:rsid w:val="00293792"/>
    <w:rsid w:val="002946D3"/>
    <w:rsid w:val="00295D00"/>
    <w:rsid w:val="00297151"/>
    <w:rsid w:val="00297E48"/>
    <w:rsid w:val="002A160F"/>
    <w:rsid w:val="002A1617"/>
    <w:rsid w:val="002A2FC1"/>
    <w:rsid w:val="002A30D2"/>
    <w:rsid w:val="002A3168"/>
    <w:rsid w:val="002A3EC2"/>
    <w:rsid w:val="002A46DD"/>
    <w:rsid w:val="002A52E2"/>
    <w:rsid w:val="002A5A25"/>
    <w:rsid w:val="002A6DB2"/>
    <w:rsid w:val="002B0EF5"/>
    <w:rsid w:val="002B111D"/>
    <w:rsid w:val="002B610F"/>
    <w:rsid w:val="002B63A7"/>
    <w:rsid w:val="002C6CDB"/>
    <w:rsid w:val="002C7FFC"/>
    <w:rsid w:val="002D05C6"/>
    <w:rsid w:val="002D10DC"/>
    <w:rsid w:val="002D1C02"/>
    <w:rsid w:val="002D231D"/>
    <w:rsid w:val="002D6542"/>
    <w:rsid w:val="002D69AE"/>
    <w:rsid w:val="002E0E40"/>
    <w:rsid w:val="002E2E99"/>
    <w:rsid w:val="002E362A"/>
    <w:rsid w:val="002E364A"/>
    <w:rsid w:val="002E36A1"/>
    <w:rsid w:val="002E3CB8"/>
    <w:rsid w:val="002E4BE5"/>
    <w:rsid w:val="002E73D6"/>
    <w:rsid w:val="002F1F88"/>
    <w:rsid w:val="002F3FC7"/>
    <w:rsid w:val="002F57EC"/>
    <w:rsid w:val="002F6872"/>
    <w:rsid w:val="002F69FF"/>
    <w:rsid w:val="00300F92"/>
    <w:rsid w:val="00301327"/>
    <w:rsid w:val="00304AF2"/>
    <w:rsid w:val="00305543"/>
    <w:rsid w:val="00305D96"/>
    <w:rsid w:val="0030632A"/>
    <w:rsid w:val="003077A1"/>
    <w:rsid w:val="00307D71"/>
    <w:rsid w:val="00312A07"/>
    <w:rsid w:val="00314738"/>
    <w:rsid w:val="00314993"/>
    <w:rsid w:val="0031789D"/>
    <w:rsid w:val="0031790C"/>
    <w:rsid w:val="00317BCE"/>
    <w:rsid w:val="00320581"/>
    <w:rsid w:val="00322F8E"/>
    <w:rsid w:val="00323E16"/>
    <w:rsid w:val="003247A3"/>
    <w:rsid w:val="003264B1"/>
    <w:rsid w:val="0033078F"/>
    <w:rsid w:val="00331495"/>
    <w:rsid w:val="003348DA"/>
    <w:rsid w:val="003351A5"/>
    <w:rsid w:val="00335FB4"/>
    <w:rsid w:val="003360F4"/>
    <w:rsid w:val="00337C13"/>
    <w:rsid w:val="003403B6"/>
    <w:rsid w:val="0034100F"/>
    <w:rsid w:val="0034106C"/>
    <w:rsid w:val="0034337C"/>
    <w:rsid w:val="0034436B"/>
    <w:rsid w:val="00345D3D"/>
    <w:rsid w:val="00346B64"/>
    <w:rsid w:val="0034701A"/>
    <w:rsid w:val="00350694"/>
    <w:rsid w:val="00351873"/>
    <w:rsid w:val="0035194D"/>
    <w:rsid w:val="0035215C"/>
    <w:rsid w:val="00353622"/>
    <w:rsid w:val="00357B11"/>
    <w:rsid w:val="003633AC"/>
    <w:rsid w:val="00364061"/>
    <w:rsid w:val="00371EFD"/>
    <w:rsid w:val="00373898"/>
    <w:rsid w:val="00375515"/>
    <w:rsid w:val="00380546"/>
    <w:rsid w:val="003812B9"/>
    <w:rsid w:val="003820BF"/>
    <w:rsid w:val="003839FB"/>
    <w:rsid w:val="00384416"/>
    <w:rsid w:val="00385916"/>
    <w:rsid w:val="00385C33"/>
    <w:rsid w:val="003920DB"/>
    <w:rsid w:val="0039218F"/>
    <w:rsid w:val="0039273C"/>
    <w:rsid w:val="00393E55"/>
    <w:rsid w:val="00395B1C"/>
    <w:rsid w:val="003A1530"/>
    <w:rsid w:val="003A2C7F"/>
    <w:rsid w:val="003A3894"/>
    <w:rsid w:val="003A4020"/>
    <w:rsid w:val="003A49EA"/>
    <w:rsid w:val="003A4ABB"/>
    <w:rsid w:val="003A52C9"/>
    <w:rsid w:val="003A62BD"/>
    <w:rsid w:val="003B56A6"/>
    <w:rsid w:val="003B604F"/>
    <w:rsid w:val="003B61E8"/>
    <w:rsid w:val="003B6A70"/>
    <w:rsid w:val="003C0EE5"/>
    <w:rsid w:val="003C1D82"/>
    <w:rsid w:val="003C4460"/>
    <w:rsid w:val="003C44E7"/>
    <w:rsid w:val="003D019D"/>
    <w:rsid w:val="003D1821"/>
    <w:rsid w:val="003D472D"/>
    <w:rsid w:val="003D4F58"/>
    <w:rsid w:val="003E01D0"/>
    <w:rsid w:val="003E1E0E"/>
    <w:rsid w:val="003E53FC"/>
    <w:rsid w:val="003E57B1"/>
    <w:rsid w:val="003F10A4"/>
    <w:rsid w:val="003F1643"/>
    <w:rsid w:val="003F3789"/>
    <w:rsid w:val="003F3A5A"/>
    <w:rsid w:val="003F4887"/>
    <w:rsid w:val="003F602A"/>
    <w:rsid w:val="003F69AA"/>
    <w:rsid w:val="003F75F0"/>
    <w:rsid w:val="00401095"/>
    <w:rsid w:val="00401C83"/>
    <w:rsid w:val="004033CB"/>
    <w:rsid w:val="00404210"/>
    <w:rsid w:val="00404800"/>
    <w:rsid w:val="00404DD5"/>
    <w:rsid w:val="00406ACB"/>
    <w:rsid w:val="00410B7B"/>
    <w:rsid w:val="0041114E"/>
    <w:rsid w:val="00411C62"/>
    <w:rsid w:val="00411E0B"/>
    <w:rsid w:val="004123DB"/>
    <w:rsid w:val="004144E6"/>
    <w:rsid w:val="004167BA"/>
    <w:rsid w:val="00416F10"/>
    <w:rsid w:val="004178DA"/>
    <w:rsid w:val="0042149B"/>
    <w:rsid w:val="00421D44"/>
    <w:rsid w:val="004221B6"/>
    <w:rsid w:val="004229AC"/>
    <w:rsid w:val="00424E91"/>
    <w:rsid w:val="00424F6C"/>
    <w:rsid w:val="0042630E"/>
    <w:rsid w:val="00426AD7"/>
    <w:rsid w:val="00433489"/>
    <w:rsid w:val="0043562F"/>
    <w:rsid w:val="00443902"/>
    <w:rsid w:val="00446B65"/>
    <w:rsid w:val="00447BFD"/>
    <w:rsid w:val="00450E5F"/>
    <w:rsid w:val="00451BF4"/>
    <w:rsid w:val="004527BD"/>
    <w:rsid w:val="00454BB6"/>
    <w:rsid w:val="004555CA"/>
    <w:rsid w:val="00462489"/>
    <w:rsid w:val="0046381A"/>
    <w:rsid w:val="00463C7E"/>
    <w:rsid w:val="00466A37"/>
    <w:rsid w:val="0047156F"/>
    <w:rsid w:val="0047311A"/>
    <w:rsid w:val="004740F5"/>
    <w:rsid w:val="00474D41"/>
    <w:rsid w:val="00474FD1"/>
    <w:rsid w:val="00475AEC"/>
    <w:rsid w:val="00476979"/>
    <w:rsid w:val="00477C35"/>
    <w:rsid w:val="0048635D"/>
    <w:rsid w:val="0048729D"/>
    <w:rsid w:val="00491A8B"/>
    <w:rsid w:val="00492AE6"/>
    <w:rsid w:val="00494CB0"/>
    <w:rsid w:val="00494DB8"/>
    <w:rsid w:val="00496EF3"/>
    <w:rsid w:val="004A0D33"/>
    <w:rsid w:val="004A2B97"/>
    <w:rsid w:val="004A517B"/>
    <w:rsid w:val="004A556C"/>
    <w:rsid w:val="004A6CE9"/>
    <w:rsid w:val="004B2865"/>
    <w:rsid w:val="004B6580"/>
    <w:rsid w:val="004B6811"/>
    <w:rsid w:val="004B76B0"/>
    <w:rsid w:val="004C15AA"/>
    <w:rsid w:val="004D3584"/>
    <w:rsid w:val="004D390F"/>
    <w:rsid w:val="004D446A"/>
    <w:rsid w:val="004E0023"/>
    <w:rsid w:val="004E03F8"/>
    <w:rsid w:val="004E2DFA"/>
    <w:rsid w:val="004E39AE"/>
    <w:rsid w:val="004E3B1A"/>
    <w:rsid w:val="004E4E0D"/>
    <w:rsid w:val="004E6A2B"/>
    <w:rsid w:val="004F03BF"/>
    <w:rsid w:val="004F1830"/>
    <w:rsid w:val="004F2BE6"/>
    <w:rsid w:val="004F32BB"/>
    <w:rsid w:val="004F5730"/>
    <w:rsid w:val="004F61F9"/>
    <w:rsid w:val="004F6418"/>
    <w:rsid w:val="004F79C1"/>
    <w:rsid w:val="005014ED"/>
    <w:rsid w:val="0050738E"/>
    <w:rsid w:val="00507666"/>
    <w:rsid w:val="005076ED"/>
    <w:rsid w:val="00507F27"/>
    <w:rsid w:val="005114D8"/>
    <w:rsid w:val="00513B58"/>
    <w:rsid w:val="005218BB"/>
    <w:rsid w:val="00523672"/>
    <w:rsid w:val="00524512"/>
    <w:rsid w:val="00524A05"/>
    <w:rsid w:val="00524FD7"/>
    <w:rsid w:val="0052644B"/>
    <w:rsid w:val="00530432"/>
    <w:rsid w:val="00533A62"/>
    <w:rsid w:val="00541084"/>
    <w:rsid w:val="005413DB"/>
    <w:rsid w:val="005415AA"/>
    <w:rsid w:val="0054352E"/>
    <w:rsid w:val="00545D3B"/>
    <w:rsid w:val="00546A50"/>
    <w:rsid w:val="00550D2A"/>
    <w:rsid w:val="0055228E"/>
    <w:rsid w:val="0055237A"/>
    <w:rsid w:val="00552BFA"/>
    <w:rsid w:val="0055418F"/>
    <w:rsid w:val="00554D8A"/>
    <w:rsid w:val="00555043"/>
    <w:rsid w:val="0055558A"/>
    <w:rsid w:val="00555929"/>
    <w:rsid w:val="00555F5A"/>
    <w:rsid w:val="00556CC4"/>
    <w:rsid w:val="00560763"/>
    <w:rsid w:val="00562302"/>
    <w:rsid w:val="0056418C"/>
    <w:rsid w:val="005664F1"/>
    <w:rsid w:val="00570050"/>
    <w:rsid w:val="005717AF"/>
    <w:rsid w:val="00571B13"/>
    <w:rsid w:val="00572513"/>
    <w:rsid w:val="005761F2"/>
    <w:rsid w:val="00577EBF"/>
    <w:rsid w:val="0058218A"/>
    <w:rsid w:val="00584E9B"/>
    <w:rsid w:val="00590567"/>
    <w:rsid w:val="00594C9E"/>
    <w:rsid w:val="005957E1"/>
    <w:rsid w:val="0059603E"/>
    <w:rsid w:val="005A5848"/>
    <w:rsid w:val="005A6C2C"/>
    <w:rsid w:val="005B0860"/>
    <w:rsid w:val="005B3591"/>
    <w:rsid w:val="005B3C01"/>
    <w:rsid w:val="005B4276"/>
    <w:rsid w:val="005B4927"/>
    <w:rsid w:val="005B55E5"/>
    <w:rsid w:val="005B7DFD"/>
    <w:rsid w:val="005C0D0D"/>
    <w:rsid w:val="005C1576"/>
    <w:rsid w:val="005C1EFB"/>
    <w:rsid w:val="005C3473"/>
    <w:rsid w:val="005D0151"/>
    <w:rsid w:val="005D200A"/>
    <w:rsid w:val="005D3902"/>
    <w:rsid w:val="005D5C4A"/>
    <w:rsid w:val="005D5DD2"/>
    <w:rsid w:val="005E074F"/>
    <w:rsid w:val="005E5D4C"/>
    <w:rsid w:val="005E7DE9"/>
    <w:rsid w:val="005F1AF4"/>
    <w:rsid w:val="005F30C3"/>
    <w:rsid w:val="005F33C9"/>
    <w:rsid w:val="005F5C5B"/>
    <w:rsid w:val="006110AD"/>
    <w:rsid w:val="00612D73"/>
    <w:rsid w:val="00613E20"/>
    <w:rsid w:val="00613FFD"/>
    <w:rsid w:val="00614F66"/>
    <w:rsid w:val="0061571D"/>
    <w:rsid w:val="00615933"/>
    <w:rsid w:val="00617748"/>
    <w:rsid w:val="00621D1C"/>
    <w:rsid w:val="006221BD"/>
    <w:rsid w:val="00623896"/>
    <w:rsid w:val="00625F50"/>
    <w:rsid w:val="006264F4"/>
    <w:rsid w:val="00626753"/>
    <w:rsid w:val="00627BA1"/>
    <w:rsid w:val="0063003E"/>
    <w:rsid w:val="00631A26"/>
    <w:rsid w:val="00631C4B"/>
    <w:rsid w:val="00633E74"/>
    <w:rsid w:val="006375B9"/>
    <w:rsid w:val="00640D30"/>
    <w:rsid w:val="00640EF0"/>
    <w:rsid w:val="0064263E"/>
    <w:rsid w:val="00646DB8"/>
    <w:rsid w:val="00651C45"/>
    <w:rsid w:val="00654CA6"/>
    <w:rsid w:val="00656031"/>
    <w:rsid w:val="0066173D"/>
    <w:rsid w:val="00662E46"/>
    <w:rsid w:val="00663570"/>
    <w:rsid w:val="0066666E"/>
    <w:rsid w:val="00670121"/>
    <w:rsid w:val="00673C94"/>
    <w:rsid w:val="00673ED6"/>
    <w:rsid w:val="006749C7"/>
    <w:rsid w:val="00674D12"/>
    <w:rsid w:val="00681321"/>
    <w:rsid w:val="0068156B"/>
    <w:rsid w:val="00684F16"/>
    <w:rsid w:val="00685A28"/>
    <w:rsid w:val="00686E11"/>
    <w:rsid w:val="00690BC4"/>
    <w:rsid w:val="0069385D"/>
    <w:rsid w:val="00695368"/>
    <w:rsid w:val="00697BE4"/>
    <w:rsid w:val="006A0280"/>
    <w:rsid w:val="006A21F7"/>
    <w:rsid w:val="006A455A"/>
    <w:rsid w:val="006A470C"/>
    <w:rsid w:val="006A7C5A"/>
    <w:rsid w:val="006B0816"/>
    <w:rsid w:val="006C2E7D"/>
    <w:rsid w:val="006C3312"/>
    <w:rsid w:val="006C3ACA"/>
    <w:rsid w:val="006C3B3B"/>
    <w:rsid w:val="006C5743"/>
    <w:rsid w:val="006C5ED2"/>
    <w:rsid w:val="006C6639"/>
    <w:rsid w:val="006C71E4"/>
    <w:rsid w:val="006C75C9"/>
    <w:rsid w:val="006D0ACC"/>
    <w:rsid w:val="006D13BA"/>
    <w:rsid w:val="006D3C41"/>
    <w:rsid w:val="006D44A2"/>
    <w:rsid w:val="006D4A8D"/>
    <w:rsid w:val="006D51F0"/>
    <w:rsid w:val="006D52CB"/>
    <w:rsid w:val="006E1236"/>
    <w:rsid w:val="006E219F"/>
    <w:rsid w:val="006E56D8"/>
    <w:rsid w:val="006E605C"/>
    <w:rsid w:val="006E6F75"/>
    <w:rsid w:val="006E7642"/>
    <w:rsid w:val="006F1EC1"/>
    <w:rsid w:val="006F4A6B"/>
    <w:rsid w:val="006F4DD8"/>
    <w:rsid w:val="006F53B3"/>
    <w:rsid w:val="006F67D5"/>
    <w:rsid w:val="0070186C"/>
    <w:rsid w:val="00705945"/>
    <w:rsid w:val="00706314"/>
    <w:rsid w:val="00706644"/>
    <w:rsid w:val="007077FD"/>
    <w:rsid w:val="0071006F"/>
    <w:rsid w:val="007112DF"/>
    <w:rsid w:val="00713E4A"/>
    <w:rsid w:val="007159DA"/>
    <w:rsid w:val="0071619D"/>
    <w:rsid w:val="00716385"/>
    <w:rsid w:val="00717A6F"/>
    <w:rsid w:val="007216AD"/>
    <w:rsid w:val="0072177D"/>
    <w:rsid w:val="00721AC5"/>
    <w:rsid w:val="00725DC6"/>
    <w:rsid w:val="00725FA0"/>
    <w:rsid w:val="007267CF"/>
    <w:rsid w:val="00727516"/>
    <w:rsid w:val="00733539"/>
    <w:rsid w:val="00733A63"/>
    <w:rsid w:val="0074098F"/>
    <w:rsid w:val="007450F1"/>
    <w:rsid w:val="0075167B"/>
    <w:rsid w:val="00752533"/>
    <w:rsid w:val="007539DA"/>
    <w:rsid w:val="0075558C"/>
    <w:rsid w:val="0075571B"/>
    <w:rsid w:val="00757DD9"/>
    <w:rsid w:val="0076018C"/>
    <w:rsid w:val="00760A3C"/>
    <w:rsid w:val="007629A7"/>
    <w:rsid w:val="00765886"/>
    <w:rsid w:val="007659B6"/>
    <w:rsid w:val="007709EC"/>
    <w:rsid w:val="00770A80"/>
    <w:rsid w:val="00770BBE"/>
    <w:rsid w:val="00772AA4"/>
    <w:rsid w:val="00773D3D"/>
    <w:rsid w:val="00775A28"/>
    <w:rsid w:val="00777966"/>
    <w:rsid w:val="00777DF2"/>
    <w:rsid w:val="00780B52"/>
    <w:rsid w:val="00784A36"/>
    <w:rsid w:val="00785FE5"/>
    <w:rsid w:val="00787B51"/>
    <w:rsid w:val="00791597"/>
    <w:rsid w:val="007957F8"/>
    <w:rsid w:val="007A031F"/>
    <w:rsid w:val="007A0656"/>
    <w:rsid w:val="007A0771"/>
    <w:rsid w:val="007A0D1A"/>
    <w:rsid w:val="007A2356"/>
    <w:rsid w:val="007A260F"/>
    <w:rsid w:val="007A2F0E"/>
    <w:rsid w:val="007A30C1"/>
    <w:rsid w:val="007A46CF"/>
    <w:rsid w:val="007A59F9"/>
    <w:rsid w:val="007A7662"/>
    <w:rsid w:val="007A7702"/>
    <w:rsid w:val="007A7BF5"/>
    <w:rsid w:val="007B0226"/>
    <w:rsid w:val="007B0460"/>
    <w:rsid w:val="007B0B82"/>
    <w:rsid w:val="007B5098"/>
    <w:rsid w:val="007B62A5"/>
    <w:rsid w:val="007C100F"/>
    <w:rsid w:val="007C1618"/>
    <w:rsid w:val="007C2832"/>
    <w:rsid w:val="007C3458"/>
    <w:rsid w:val="007C6099"/>
    <w:rsid w:val="007C6A9A"/>
    <w:rsid w:val="007C6C22"/>
    <w:rsid w:val="007C6DC9"/>
    <w:rsid w:val="007D2DF9"/>
    <w:rsid w:val="007E3E53"/>
    <w:rsid w:val="007E48B0"/>
    <w:rsid w:val="007E49A7"/>
    <w:rsid w:val="007E6BCC"/>
    <w:rsid w:val="007E6F61"/>
    <w:rsid w:val="007F0853"/>
    <w:rsid w:val="007F0A6F"/>
    <w:rsid w:val="007F5756"/>
    <w:rsid w:val="007F6A43"/>
    <w:rsid w:val="008008A9"/>
    <w:rsid w:val="00801DDB"/>
    <w:rsid w:val="00804327"/>
    <w:rsid w:val="00806371"/>
    <w:rsid w:val="008076CA"/>
    <w:rsid w:val="00810A26"/>
    <w:rsid w:val="00814642"/>
    <w:rsid w:val="00817242"/>
    <w:rsid w:val="00821496"/>
    <w:rsid w:val="008216C7"/>
    <w:rsid w:val="008219E8"/>
    <w:rsid w:val="00823C54"/>
    <w:rsid w:val="00826144"/>
    <w:rsid w:val="00826476"/>
    <w:rsid w:val="00827B8F"/>
    <w:rsid w:val="00830371"/>
    <w:rsid w:val="0083042D"/>
    <w:rsid w:val="00831D20"/>
    <w:rsid w:val="0084117F"/>
    <w:rsid w:val="008418B4"/>
    <w:rsid w:val="008437C1"/>
    <w:rsid w:val="00844280"/>
    <w:rsid w:val="00844EC0"/>
    <w:rsid w:val="0084598D"/>
    <w:rsid w:val="00845A20"/>
    <w:rsid w:val="00845CFC"/>
    <w:rsid w:val="0085006A"/>
    <w:rsid w:val="008515BC"/>
    <w:rsid w:val="00851676"/>
    <w:rsid w:val="00852610"/>
    <w:rsid w:val="0085319D"/>
    <w:rsid w:val="008539BE"/>
    <w:rsid w:val="00857BA7"/>
    <w:rsid w:val="00870ED5"/>
    <w:rsid w:val="00876DB1"/>
    <w:rsid w:val="00881798"/>
    <w:rsid w:val="00884A4D"/>
    <w:rsid w:val="00885E35"/>
    <w:rsid w:val="00890A1C"/>
    <w:rsid w:val="00893FEE"/>
    <w:rsid w:val="00894FE5"/>
    <w:rsid w:val="0089512C"/>
    <w:rsid w:val="00895800"/>
    <w:rsid w:val="00896FF6"/>
    <w:rsid w:val="008A24B5"/>
    <w:rsid w:val="008A51CD"/>
    <w:rsid w:val="008B3E71"/>
    <w:rsid w:val="008B3EE7"/>
    <w:rsid w:val="008C20AD"/>
    <w:rsid w:val="008C2239"/>
    <w:rsid w:val="008C7139"/>
    <w:rsid w:val="008D11AF"/>
    <w:rsid w:val="008D2726"/>
    <w:rsid w:val="008D547A"/>
    <w:rsid w:val="008D6AC6"/>
    <w:rsid w:val="008D7AD1"/>
    <w:rsid w:val="008E029C"/>
    <w:rsid w:val="008E1244"/>
    <w:rsid w:val="008E413B"/>
    <w:rsid w:val="008E4C20"/>
    <w:rsid w:val="008E5FF9"/>
    <w:rsid w:val="008E6E90"/>
    <w:rsid w:val="008E779B"/>
    <w:rsid w:val="008E7A67"/>
    <w:rsid w:val="008E7BBA"/>
    <w:rsid w:val="008F24AD"/>
    <w:rsid w:val="008F2534"/>
    <w:rsid w:val="008F2D1A"/>
    <w:rsid w:val="008F3CFB"/>
    <w:rsid w:val="008F5B1B"/>
    <w:rsid w:val="008F619E"/>
    <w:rsid w:val="00901B73"/>
    <w:rsid w:val="009032ED"/>
    <w:rsid w:val="009048A3"/>
    <w:rsid w:val="0090495D"/>
    <w:rsid w:val="00906EEA"/>
    <w:rsid w:val="009118E1"/>
    <w:rsid w:val="009138DB"/>
    <w:rsid w:val="00913D7C"/>
    <w:rsid w:val="0091483A"/>
    <w:rsid w:val="00915397"/>
    <w:rsid w:val="00916289"/>
    <w:rsid w:val="00916590"/>
    <w:rsid w:val="0091743C"/>
    <w:rsid w:val="0092191A"/>
    <w:rsid w:val="009224B1"/>
    <w:rsid w:val="00924CF6"/>
    <w:rsid w:val="00924EB6"/>
    <w:rsid w:val="00925561"/>
    <w:rsid w:val="00926700"/>
    <w:rsid w:val="009279C8"/>
    <w:rsid w:val="00930D15"/>
    <w:rsid w:val="00931A35"/>
    <w:rsid w:val="00931FE7"/>
    <w:rsid w:val="0093202B"/>
    <w:rsid w:val="00934EDA"/>
    <w:rsid w:val="00937B46"/>
    <w:rsid w:val="00940213"/>
    <w:rsid w:val="009412B6"/>
    <w:rsid w:val="0094165A"/>
    <w:rsid w:val="0094172D"/>
    <w:rsid w:val="00941F28"/>
    <w:rsid w:val="00946583"/>
    <w:rsid w:val="0094724C"/>
    <w:rsid w:val="00951392"/>
    <w:rsid w:val="0095174F"/>
    <w:rsid w:val="00952136"/>
    <w:rsid w:val="00954C85"/>
    <w:rsid w:val="00954FF8"/>
    <w:rsid w:val="00955F6E"/>
    <w:rsid w:val="00956C50"/>
    <w:rsid w:val="009601D5"/>
    <w:rsid w:val="00960E2E"/>
    <w:rsid w:val="00961492"/>
    <w:rsid w:val="00962558"/>
    <w:rsid w:val="00963757"/>
    <w:rsid w:val="00964F32"/>
    <w:rsid w:val="00964FCE"/>
    <w:rsid w:val="00966181"/>
    <w:rsid w:val="00966274"/>
    <w:rsid w:val="0097049A"/>
    <w:rsid w:val="00970640"/>
    <w:rsid w:val="009724E2"/>
    <w:rsid w:val="00973170"/>
    <w:rsid w:val="009731A5"/>
    <w:rsid w:val="00974035"/>
    <w:rsid w:val="009743FE"/>
    <w:rsid w:val="00974D3F"/>
    <w:rsid w:val="00975510"/>
    <w:rsid w:val="00975C51"/>
    <w:rsid w:val="00975E26"/>
    <w:rsid w:val="00984298"/>
    <w:rsid w:val="00984748"/>
    <w:rsid w:val="00986313"/>
    <w:rsid w:val="0099329E"/>
    <w:rsid w:val="009942FC"/>
    <w:rsid w:val="00995596"/>
    <w:rsid w:val="00995E93"/>
    <w:rsid w:val="009A0CC5"/>
    <w:rsid w:val="009A14FA"/>
    <w:rsid w:val="009A1CFB"/>
    <w:rsid w:val="009A25ED"/>
    <w:rsid w:val="009A3B90"/>
    <w:rsid w:val="009A7609"/>
    <w:rsid w:val="009B2FA6"/>
    <w:rsid w:val="009B37A1"/>
    <w:rsid w:val="009C021C"/>
    <w:rsid w:val="009C07FB"/>
    <w:rsid w:val="009C53F3"/>
    <w:rsid w:val="009C56D9"/>
    <w:rsid w:val="009C6A8E"/>
    <w:rsid w:val="009D0965"/>
    <w:rsid w:val="009D32AA"/>
    <w:rsid w:val="009D38FD"/>
    <w:rsid w:val="009E1CEB"/>
    <w:rsid w:val="009E5E05"/>
    <w:rsid w:val="009E6970"/>
    <w:rsid w:val="009E7C8E"/>
    <w:rsid w:val="009F1576"/>
    <w:rsid w:val="009F179E"/>
    <w:rsid w:val="009F239C"/>
    <w:rsid w:val="009F43DF"/>
    <w:rsid w:val="009F5849"/>
    <w:rsid w:val="009F6617"/>
    <w:rsid w:val="00A00405"/>
    <w:rsid w:val="00A01390"/>
    <w:rsid w:val="00A03501"/>
    <w:rsid w:val="00A04B0D"/>
    <w:rsid w:val="00A076EB"/>
    <w:rsid w:val="00A12509"/>
    <w:rsid w:val="00A174A6"/>
    <w:rsid w:val="00A2044E"/>
    <w:rsid w:val="00A209CC"/>
    <w:rsid w:val="00A21B4B"/>
    <w:rsid w:val="00A21E0E"/>
    <w:rsid w:val="00A21ED0"/>
    <w:rsid w:val="00A238C0"/>
    <w:rsid w:val="00A23AD8"/>
    <w:rsid w:val="00A26484"/>
    <w:rsid w:val="00A31DD8"/>
    <w:rsid w:val="00A31E11"/>
    <w:rsid w:val="00A320C2"/>
    <w:rsid w:val="00A32107"/>
    <w:rsid w:val="00A34E01"/>
    <w:rsid w:val="00A350BA"/>
    <w:rsid w:val="00A353D0"/>
    <w:rsid w:val="00A3540C"/>
    <w:rsid w:val="00A35593"/>
    <w:rsid w:val="00A36D1B"/>
    <w:rsid w:val="00A4132E"/>
    <w:rsid w:val="00A41ECD"/>
    <w:rsid w:val="00A4485B"/>
    <w:rsid w:val="00A451BC"/>
    <w:rsid w:val="00A5053E"/>
    <w:rsid w:val="00A508D9"/>
    <w:rsid w:val="00A53520"/>
    <w:rsid w:val="00A54A59"/>
    <w:rsid w:val="00A570CB"/>
    <w:rsid w:val="00A57102"/>
    <w:rsid w:val="00A61FF6"/>
    <w:rsid w:val="00A63741"/>
    <w:rsid w:val="00A63907"/>
    <w:rsid w:val="00A64CB0"/>
    <w:rsid w:val="00A709F2"/>
    <w:rsid w:val="00A7160A"/>
    <w:rsid w:val="00A71715"/>
    <w:rsid w:val="00A723C7"/>
    <w:rsid w:val="00A73983"/>
    <w:rsid w:val="00A73AB2"/>
    <w:rsid w:val="00A803F0"/>
    <w:rsid w:val="00A84712"/>
    <w:rsid w:val="00A84DEA"/>
    <w:rsid w:val="00A8548C"/>
    <w:rsid w:val="00A87AB7"/>
    <w:rsid w:val="00A90C81"/>
    <w:rsid w:val="00AA3E5E"/>
    <w:rsid w:val="00AA681E"/>
    <w:rsid w:val="00AB0448"/>
    <w:rsid w:val="00AB2B1D"/>
    <w:rsid w:val="00AB62D5"/>
    <w:rsid w:val="00AB78D5"/>
    <w:rsid w:val="00AC0D3D"/>
    <w:rsid w:val="00AC17C4"/>
    <w:rsid w:val="00AC2EA2"/>
    <w:rsid w:val="00AC541C"/>
    <w:rsid w:val="00AC6A0E"/>
    <w:rsid w:val="00AC6BB2"/>
    <w:rsid w:val="00AC7C2A"/>
    <w:rsid w:val="00AD1293"/>
    <w:rsid w:val="00AD2AAE"/>
    <w:rsid w:val="00AD684B"/>
    <w:rsid w:val="00AD68DA"/>
    <w:rsid w:val="00AE0833"/>
    <w:rsid w:val="00AE5107"/>
    <w:rsid w:val="00AE598D"/>
    <w:rsid w:val="00AF0DAD"/>
    <w:rsid w:val="00AF1357"/>
    <w:rsid w:val="00AF360C"/>
    <w:rsid w:val="00AF5C4A"/>
    <w:rsid w:val="00AF66A6"/>
    <w:rsid w:val="00B00B35"/>
    <w:rsid w:val="00B02990"/>
    <w:rsid w:val="00B0341F"/>
    <w:rsid w:val="00B04FE2"/>
    <w:rsid w:val="00B11367"/>
    <w:rsid w:val="00B114E0"/>
    <w:rsid w:val="00B11515"/>
    <w:rsid w:val="00B11BB3"/>
    <w:rsid w:val="00B13EE1"/>
    <w:rsid w:val="00B154AD"/>
    <w:rsid w:val="00B15DFB"/>
    <w:rsid w:val="00B16BFF"/>
    <w:rsid w:val="00B17829"/>
    <w:rsid w:val="00B207F6"/>
    <w:rsid w:val="00B2125B"/>
    <w:rsid w:val="00B21D3B"/>
    <w:rsid w:val="00B24364"/>
    <w:rsid w:val="00B2618B"/>
    <w:rsid w:val="00B270B1"/>
    <w:rsid w:val="00B27D11"/>
    <w:rsid w:val="00B31A64"/>
    <w:rsid w:val="00B34657"/>
    <w:rsid w:val="00B34F45"/>
    <w:rsid w:val="00B40AB5"/>
    <w:rsid w:val="00B5128E"/>
    <w:rsid w:val="00B51C6D"/>
    <w:rsid w:val="00B5530C"/>
    <w:rsid w:val="00B55FF0"/>
    <w:rsid w:val="00B56D45"/>
    <w:rsid w:val="00B57944"/>
    <w:rsid w:val="00B61D26"/>
    <w:rsid w:val="00B64682"/>
    <w:rsid w:val="00B646B6"/>
    <w:rsid w:val="00B66112"/>
    <w:rsid w:val="00B66474"/>
    <w:rsid w:val="00B6690D"/>
    <w:rsid w:val="00B734FF"/>
    <w:rsid w:val="00B73B76"/>
    <w:rsid w:val="00B74883"/>
    <w:rsid w:val="00B74EAD"/>
    <w:rsid w:val="00B76776"/>
    <w:rsid w:val="00B769F6"/>
    <w:rsid w:val="00B77478"/>
    <w:rsid w:val="00B77830"/>
    <w:rsid w:val="00B77F6A"/>
    <w:rsid w:val="00B8134A"/>
    <w:rsid w:val="00B83248"/>
    <w:rsid w:val="00B835EB"/>
    <w:rsid w:val="00B843E6"/>
    <w:rsid w:val="00B84B9E"/>
    <w:rsid w:val="00B90DF6"/>
    <w:rsid w:val="00B91B9C"/>
    <w:rsid w:val="00B946FE"/>
    <w:rsid w:val="00B97421"/>
    <w:rsid w:val="00BA0F59"/>
    <w:rsid w:val="00BA3ECD"/>
    <w:rsid w:val="00BA4B29"/>
    <w:rsid w:val="00BA633C"/>
    <w:rsid w:val="00BA7EAA"/>
    <w:rsid w:val="00BB0776"/>
    <w:rsid w:val="00BB0E61"/>
    <w:rsid w:val="00BB1178"/>
    <w:rsid w:val="00BB120B"/>
    <w:rsid w:val="00BB1FAD"/>
    <w:rsid w:val="00BB222A"/>
    <w:rsid w:val="00BB44B3"/>
    <w:rsid w:val="00BB60F9"/>
    <w:rsid w:val="00BC1137"/>
    <w:rsid w:val="00BC1611"/>
    <w:rsid w:val="00BC5A75"/>
    <w:rsid w:val="00BC5E4D"/>
    <w:rsid w:val="00BC6939"/>
    <w:rsid w:val="00BC79C8"/>
    <w:rsid w:val="00BD05F2"/>
    <w:rsid w:val="00BD186C"/>
    <w:rsid w:val="00BD3296"/>
    <w:rsid w:val="00BD3A15"/>
    <w:rsid w:val="00BD4CB2"/>
    <w:rsid w:val="00BD5E04"/>
    <w:rsid w:val="00BD6970"/>
    <w:rsid w:val="00BE030B"/>
    <w:rsid w:val="00BE1A1D"/>
    <w:rsid w:val="00BE58A7"/>
    <w:rsid w:val="00BE5C91"/>
    <w:rsid w:val="00BE5E1F"/>
    <w:rsid w:val="00BE72A3"/>
    <w:rsid w:val="00BE7B69"/>
    <w:rsid w:val="00BF125C"/>
    <w:rsid w:val="00BF183D"/>
    <w:rsid w:val="00BF32BF"/>
    <w:rsid w:val="00BF4862"/>
    <w:rsid w:val="00BF5F0E"/>
    <w:rsid w:val="00BF76A3"/>
    <w:rsid w:val="00C00D1F"/>
    <w:rsid w:val="00C04037"/>
    <w:rsid w:val="00C04C8B"/>
    <w:rsid w:val="00C05218"/>
    <w:rsid w:val="00C05CFE"/>
    <w:rsid w:val="00C06A2A"/>
    <w:rsid w:val="00C071FF"/>
    <w:rsid w:val="00C10A6A"/>
    <w:rsid w:val="00C11F74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22875"/>
    <w:rsid w:val="00C3006B"/>
    <w:rsid w:val="00C30242"/>
    <w:rsid w:val="00C31531"/>
    <w:rsid w:val="00C34D22"/>
    <w:rsid w:val="00C36150"/>
    <w:rsid w:val="00C37A67"/>
    <w:rsid w:val="00C40EAF"/>
    <w:rsid w:val="00C431A8"/>
    <w:rsid w:val="00C455DA"/>
    <w:rsid w:val="00C50967"/>
    <w:rsid w:val="00C50B5C"/>
    <w:rsid w:val="00C51F0F"/>
    <w:rsid w:val="00C524BF"/>
    <w:rsid w:val="00C64787"/>
    <w:rsid w:val="00C648C7"/>
    <w:rsid w:val="00C654EC"/>
    <w:rsid w:val="00C664EB"/>
    <w:rsid w:val="00C66B79"/>
    <w:rsid w:val="00C67B10"/>
    <w:rsid w:val="00C708F1"/>
    <w:rsid w:val="00C712EE"/>
    <w:rsid w:val="00C75C58"/>
    <w:rsid w:val="00C75DA2"/>
    <w:rsid w:val="00C77DC2"/>
    <w:rsid w:val="00C81207"/>
    <w:rsid w:val="00C84FC4"/>
    <w:rsid w:val="00C861B9"/>
    <w:rsid w:val="00C87A69"/>
    <w:rsid w:val="00C91ADC"/>
    <w:rsid w:val="00C925B9"/>
    <w:rsid w:val="00C92783"/>
    <w:rsid w:val="00C94DB6"/>
    <w:rsid w:val="00CA29E8"/>
    <w:rsid w:val="00CA3036"/>
    <w:rsid w:val="00CA5BB0"/>
    <w:rsid w:val="00CA7AA4"/>
    <w:rsid w:val="00CA7BA3"/>
    <w:rsid w:val="00CB1310"/>
    <w:rsid w:val="00CB23B2"/>
    <w:rsid w:val="00CB2616"/>
    <w:rsid w:val="00CB42E6"/>
    <w:rsid w:val="00CB4FE1"/>
    <w:rsid w:val="00CB5B78"/>
    <w:rsid w:val="00CB5CA1"/>
    <w:rsid w:val="00CB5E2F"/>
    <w:rsid w:val="00CB6381"/>
    <w:rsid w:val="00CC061D"/>
    <w:rsid w:val="00CC0940"/>
    <w:rsid w:val="00CC1EBB"/>
    <w:rsid w:val="00CC4BD8"/>
    <w:rsid w:val="00CC52DE"/>
    <w:rsid w:val="00CC63B3"/>
    <w:rsid w:val="00CC6612"/>
    <w:rsid w:val="00CD0376"/>
    <w:rsid w:val="00CD17DB"/>
    <w:rsid w:val="00CD48E3"/>
    <w:rsid w:val="00CD5E1A"/>
    <w:rsid w:val="00CE122D"/>
    <w:rsid w:val="00CE6060"/>
    <w:rsid w:val="00CE682A"/>
    <w:rsid w:val="00CE774E"/>
    <w:rsid w:val="00CE7D5F"/>
    <w:rsid w:val="00CF0B0A"/>
    <w:rsid w:val="00CF1CFF"/>
    <w:rsid w:val="00CF1E63"/>
    <w:rsid w:val="00CF38A1"/>
    <w:rsid w:val="00CF4059"/>
    <w:rsid w:val="00CF4D86"/>
    <w:rsid w:val="00D023B7"/>
    <w:rsid w:val="00D03DA2"/>
    <w:rsid w:val="00D05F85"/>
    <w:rsid w:val="00D22FB0"/>
    <w:rsid w:val="00D249DF"/>
    <w:rsid w:val="00D31F27"/>
    <w:rsid w:val="00D32733"/>
    <w:rsid w:val="00D3401D"/>
    <w:rsid w:val="00D3541C"/>
    <w:rsid w:val="00D44088"/>
    <w:rsid w:val="00D44464"/>
    <w:rsid w:val="00D4543F"/>
    <w:rsid w:val="00D45513"/>
    <w:rsid w:val="00D45EE9"/>
    <w:rsid w:val="00D529B3"/>
    <w:rsid w:val="00D535B8"/>
    <w:rsid w:val="00D53F2C"/>
    <w:rsid w:val="00D604AD"/>
    <w:rsid w:val="00D61F47"/>
    <w:rsid w:val="00D620DF"/>
    <w:rsid w:val="00D63845"/>
    <w:rsid w:val="00D67FFA"/>
    <w:rsid w:val="00D70674"/>
    <w:rsid w:val="00D722E4"/>
    <w:rsid w:val="00D731A7"/>
    <w:rsid w:val="00D73271"/>
    <w:rsid w:val="00D73313"/>
    <w:rsid w:val="00D73AA2"/>
    <w:rsid w:val="00D75E51"/>
    <w:rsid w:val="00D77469"/>
    <w:rsid w:val="00D8559F"/>
    <w:rsid w:val="00D86A89"/>
    <w:rsid w:val="00D90898"/>
    <w:rsid w:val="00D93E4E"/>
    <w:rsid w:val="00D94F95"/>
    <w:rsid w:val="00D963B6"/>
    <w:rsid w:val="00DA1B1E"/>
    <w:rsid w:val="00DA32A5"/>
    <w:rsid w:val="00DA3800"/>
    <w:rsid w:val="00DA3C78"/>
    <w:rsid w:val="00DA3E9B"/>
    <w:rsid w:val="00DA5044"/>
    <w:rsid w:val="00DA7C18"/>
    <w:rsid w:val="00DB0043"/>
    <w:rsid w:val="00DB0FD2"/>
    <w:rsid w:val="00DB12D9"/>
    <w:rsid w:val="00DB576C"/>
    <w:rsid w:val="00DB7932"/>
    <w:rsid w:val="00DC0F26"/>
    <w:rsid w:val="00DC2582"/>
    <w:rsid w:val="00DC3497"/>
    <w:rsid w:val="00DC7722"/>
    <w:rsid w:val="00DC7B7B"/>
    <w:rsid w:val="00DD0C69"/>
    <w:rsid w:val="00DD3C6F"/>
    <w:rsid w:val="00DD4AA0"/>
    <w:rsid w:val="00DD5CFF"/>
    <w:rsid w:val="00DD6CBB"/>
    <w:rsid w:val="00DD6DBF"/>
    <w:rsid w:val="00DD778B"/>
    <w:rsid w:val="00DE21AD"/>
    <w:rsid w:val="00DE3F25"/>
    <w:rsid w:val="00DE5C36"/>
    <w:rsid w:val="00DE71FE"/>
    <w:rsid w:val="00DF07D0"/>
    <w:rsid w:val="00DF1DA8"/>
    <w:rsid w:val="00DF6314"/>
    <w:rsid w:val="00DF7A93"/>
    <w:rsid w:val="00E01B0E"/>
    <w:rsid w:val="00E02D5A"/>
    <w:rsid w:val="00E0370E"/>
    <w:rsid w:val="00E03863"/>
    <w:rsid w:val="00E03D04"/>
    <w:rsid w:val="00E04F98"/>
    <w:rsid w:val="00E05AE4"/>
    <w:rsid w:val="00E05FDE"/>
    <w:rsid w:val="00E06BD2"/>
    <w:rsid w:val="00E07AFE"/>
    <w:rsid w:val="00E13E28"/>
    <w:rsid w:val="00E1409D"/>
    <w:rsid w:val="00E143AC"/>
    <w:rsid w:val="00E2081F"/>
    <w:rsid w:val="00E21577"/>
    <w:rsid w:val="00E23C46"/>
    <w:rsid w:val="00E24977"/>
    <w:rsid w:val="00E26B39"/>
    <w:rsid w:val="00E26D62"/>
    <w:rsid w:val="00E2773C"/>
    <w:rsid w:val="00E30DC3"/>
    <w:rsid w:val="00E316E2"/>
    <w:rsid w:val="00E32928"/>
    <w:rsid w:val="00E35159"/>
    <w:rsid w:val="00E365A7"/>
    <w:rsid w:val="00E432E0"/>
    <w:rsid w:val="00E45CEF"/>
    <w:rsid w:val="00E47FED"/>
    <w:rsid w:val="00E514FF"/>
    <w:rsid w:val="00E51613"/>
    <w:rsid w:val="00E51697"/>
    <w:rsid w:val="00E53072"/>
    <w:rsid w:val="00E533B7"/>
    <w:rsid w:val="00E537DC"/>
    <w:rsid w:val="00E54D8C"/>
    <w:rsid w:val="00E60941"/>
    <w:rsid w:val="00E6099B"/>
    <w:rsid w:val="00E61C89"/>
    <w:rsid w:val="00E63C76"/>
    <w:rsid w:val="00E65190"/>
    <w:rsid w:val="00E65699"/>
    <w:rsid w:val="00E65818"/>
    <w:rsid w:val="00E70716"/>
    <w:rsid w:val="00E71C6D"/>
    <w:rsid w:val="00E72F4A"/>
    <w:rsid w:val="00E7444B"/>
    <w:rsid w:val="00E76738"/>
    <w:rsid w:val="00E80CBE"/>
    <w:rsid w:val="00E8255A"/>
    <w:rsid w:val="00E82FD5"/>
    <w:rsid w:val="00E86609"/>
    <w:rsid w:val="00E86653"/>
    <w:rsid w:val="00E90A76"/>
    <w:rsid w:val="00E9489B"/>
    <w:rsid w:val="00E94DDD"/>
    <w:rsid w:val="00E952E4"/>
    <w:rsid w:val="00E95493"/>
    <w:rsid w:val="00E97240"/>
    <w:rsid w:val="00EA003C"/>
    <w:rsid w:val="00EA01D0"/>
    <w:rsid w:val="00EA1319"/>
    <w:rsid w:val="00EA41AB"/>
    <w:rsid w:val="00EA46AC"/>
    <w:rsid w:val="00EA786E"/>
    <w:rsid w:val="00EB0C68"/>
    <w:rsid w:val="00EB2A33"/>
    <w:rsid w:val="00EB2DAB"/>
    <w:rsid w:val="00EB6D00"/>
    <w:rsid w:val="00EB7ADB"/>
    <w:rsid w:val="00EC0BCC"/>
    <w:rsid w:val="00EC1514"/>
    <w:rsid w:val="00ED0D44"/>
    <w:rsid w:val="00ED6A41"/>
    <w:rsid w:val="00ED7B84"/>
    <w:rsid w:val="00EE1CF3"/>
    <w:rsid w:val="00EF1E03"/>
    <w:rsid w:val="00EF4DBC"/>
    <w:rsid w:val="00EF5FC0"/>
    <w:rsid w:val="00EF6AD3"/>
    <w:rsid w:val="00EF6B8D"/>
    <w:rsid w:val="00EF7F82"/>
    <w:rsid w:val="00F0004A"/>
    <w:rsid w:val="00F0039E"/>
    <w:rsid w:val="00F05144"/>
    <w:rsid w:val="00F1137E"/>
    <w:rsid w:val="00F13699"/>
    <w:rsid w:val="00F16902"/>
    <w:rsid w:val="00F17A1C"/>
    <w:rsid w:val="00F17CFF"/>
    <w:rsid w:val="00F20990"/>
    <w:rsid w:val="00F22392"/>
    <w:rsid w:val="00F250FC"/>
    <w:rsid w:val="00F27235"/>
    <w:rsid w:val="00F278A5"/>
    <w:rsid w:val="00F3193B"/>
    <w:rsid w:val="00F332D3"/>
    <w:rsid w:val="00F3369F"/>
    <w:rsid w:val="00F34129"/>
    <w:rsid w:val="00F35ABB"/>
    <w:rsid w:val="00F36020"/>
    <w:rsid w:val="00F36685"/>
    <w:rsid w:val="00F37415"/>
    <w:rsid w:val="00F422A0"/>
    <w:rsid w:val="00F441C1"/>
    <w:rsid w:val="00F44341"/>
    <w:rsid w:val="00F475CC"/>
    <w:rsid w:val="00F47FB2"/>
    <w:rsid w:val="00F510EF"/>
    <w:rsid w:val="00F51A3C"/>
    <w:rsid w:val="00F5206B"/>
    <w:rsid w:val="00F52480"/>
    <w:rsid w:val="00F53018"/>
    <w:rsid w:val="00F53589"/>
    <w:rsid w:val="00F55156"/>
    <w:rsid w:val="00F57E85"/>
    <w:rsid w:val="00F606CC"/>
    <w:rsid w:val="00F60B5D"/>
    <w:rsid w:val="00F61149"/>
    <w:rsid w:val="00F620F5"/>
    <w:rsid w:val="00F62B67"/>
    <w:rsid w:val="00F635F0"/>
    <w:rsid w:val="00F669D0"/>
    <w:rsid w:val="00F714E0"/>
    <w:rsid w:val="00F71B8B"/>
    <w:rsid w:val="00F73DA7"/>
    <w:rsid w:val="00F75175"/>
    <w:rsid w:val="00F80EB5"/>
    <w:rsid w:val="00F80EC8"/>
    <w:rsid w:val="00F81859"/>
    <w:rsid w:val="00F871AF"/>
    <w:rsid w:val="00F90671"/>
    <w:rsid w:val="00F917F9"/>
    <w:rsid w:val="00F9190B"/>
    <w:rsid w:val="00F91D57"/>
    <w:rsid w:val="00F9407B"/>
    <w:rsid w:val="00FA0E78"/>
    <w:rsid w:val="00FA1BAA"/>
    <w:rsid w:val="00FA6198"/>
    <w:rsid w:val="00FB11A6"/>
    <w:rsid w:val="00FB2201"/>
    <w:rsid w:val="00FB3B6E"/>
    <w:rsid w:val="00FB5A83"/>
    <w:rsid w:val="00FC4287"/>
    <w:rsid w:val="00FC45C1"/>
    <w:rsid w:val="00FC4B06"/>
    <w:rsid w:val="00FC567A"/>
    <w:rsid w:val="00FC6624"/>
    <w:rsid w:val="00FC764D"/>
    <w:rsid w:val="00FD015A"/>
    <w:rsid w:val="00FD063F"/>
    <w:rsid w:val="00FD14EB"/>
    <w:rsid w:val="00FD1FA3"/>
    <w:rsid w:val="00FD6300"/>
    <w:rsid w:val="00FE022B"/>
    <w:rsid w:val="00FE0587"/>
    <w:rsid w:val="00FE1CA7"/>
    <w:rsid w:val="00FE36B6"/>
    <w:rsid w:val="00FE44F3"/>
    <w:rsid w:val="00FE50D4"/>
    <w:rsid w:val="00FE5634"/>
    <w:rsid w:val="00FF0C5B"/>
    <w:rsid w:val="00FF2E07"/>
    <w:rsid w:val="00FF4BD4"/>
    <w:rsid w:val="00FF52AC"/>
    <w:rsid w:val="00FF7692"/>
    <w:rsid w:val="00FF79CA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3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4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0AF350BFB94CF4ECF27F719EAA4B2FD16F6799BB27D324473942F43EDAFDB5929AC81DDF35B939342C6F3v3H" TargetMode="External"/><Relationship Id="rId13" Type="http://schemas.openxmlformats.org/officeDocument/2006/relationships/hyperlink" Target="consultantplus://offline/ref=EAF0AF350BFB94CF4ECF39FA0F86FEBDFA1EAC739BBB7062182CCF7214FEv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F0AF350BFB94CF4ECF39FA0F86FEBDFA19A87098BA7062182CCF7214FEv4H" TargetMode="External"/><Relationship Id="rId12" Type="http://schemas.openxmlformats.org/officeDocument/2006/relationships/hyperlink" Target="consultantplus://offline/ref=EAF0AF350BFB94CF4ECF27F719EAA4B2FD16F6799AB97B3C4173942F43EDAFDB5929AC81DDF35B939343C0F3v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0AF350BFB94CF4ECF39FA0F86FEBDFA18A87691BB7062182CCF7214FEv4H" TargetMode="External"/><Relationship Id="rId11" Type="http://schemas.openxmlformats.org/officeDocument/2006/relationships/hyperlink" Target="consultantplus://offline/ref=EAF0AF350BFB94CF4ECF39FA0F86FEBDFA1EAC739BBB7062182CCF7214FEv4H" TargetMode="External"/><Relationship Id="rId5" Type="http://schemas.openxmlformats.org/officeDocument/2006/relationships/hyperlink" Target="consultantplus://offline/ref=EAF0AF350BFB94CF4ECF39FA0F86FEBDFA19AC7399B27062182CCF7214FEv4H" TargetMode="External"/><Relationship Id="rId15" Type="http://schemas.openxmlformats.org/officeDocument/2006/relationships/hyperlink" Target="consultantplus://offline/ref=EAF0AF350BFB94CF4ECF39FA0F86FEBDFA18A8739EBE7062182CCF7214E4A58C1E66F5C399FE5994F9vAH" TargetMode="External"/><Relationship Id="rId10" Type="http://schemas.openxmlformats.org/officeDocument/2006/relationships/hyperlink" Target="consultantplus://offline/ref=EAF0AF350BFB94CF4ECF39FA0F86FEBDFA1EAC739BBB7062182CCF7214FEv4H" TargetMode="External"/><Relationship Id="rId4" Type="http://schemas.openxmlformats.org/officeDocument/2006/relationships/hyperlink" Target="consultantplus://offline/ref=EAF0AF350BFB94CF4ECF27F719EAA4B2FD16F6799AB97B3C4173942F43EDAFDB5929AC81DDF35B939343C0F3v2H" TargetMode="External"/><Relationship Id="rId9" Type="http://schemas.openxmlformats.org/officeDocument/2006/relationships/hyperlink" Target="consultantplus://offline/ref=EAF0AF350BFB94CF4ECF27F719EAA4B2FD16F6799BB27F304D73942F43EDAFDBF5v9H" TargetMode="External"/><Relationship Id="rId14" Type="http://schemas.openxmlformats.org/officeDocument/2006/relationships/hyperlink" Target="consultantplus://offline/ref=EAF0AF350BFB94CF4ECF39FA0F86FEBDFA18A87098B27062182CCF7214E4A58C1E66F5C399FE5A95F9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8217</Words>
  <Characters>46840</Characters>
  <Application>Microsoft Office Word</Application>
  <DocSecurity>0</DocSecurity>
  <Lines>390</Lines>
  <Paragraphs>109</Paragraphs>
  <ScaleCrop>false</ScaleCrop>
  <Company/>
  <LinksUpToDate>false</LinksUpToDate>
  <CharactersWithSpaces>54948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2013-08-29T07:47:00Z</dcterms:created>
  <dcterms:modified xsi:type="dcterms:W3CDTF">2013-08-29T07:59:00Z</dcterms:modified>
</cp:coreProperties>
</file>