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ГЛАВНОЕ УПРАВЛЕНИЕ "РЕГИОНАЛЬНАЯ ЭНЕРГЕТИЧЕСКАЯ КОМИССИЯ"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ТВЕРСКОЙ ОБЛАСТИ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2015 г. N 97-нп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ГУ РЭК ТВЕРСКОЙ ОБЛАСТИ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29.12.2014 N 449-НП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11.05.2015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26.06.2015 Главное управление "Региональная энергетическая комиссия" Тверской области постановляет: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Главного управления "Региональная энергетическая комиссия" Тверской области от 29.12.2014 N 449-нп "О единых (котловых) тарифах на услуги по передаче электрической энергии, оказываемые на территории Тверской области потребителям, на 2015 год" изменение, изложив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</w:t>
      </w:r>
      <w:hyperlink w:anchor="Par2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01.07.2015 и подлежит официальному опубликованию.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ГУ РЭК Тверской области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С.Н.ТЮРИН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2015 г. N 97-нп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ГУ РЭК Тверской области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449-нп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Тверской области, поставляемой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прочим потребителям на 2015 год </w:t>
      </w:r>
      <w:hyperlink w:anchor="Par154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606E" w:rsidSect="00F41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280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09"/>
        <w:gridCol w:w="1417"/>
        <w:gridCol w:w="1247"/>
        <w:gridCol w:w="1134"/>
        <w:gridCol w:w="1417"/>
        <w:gridCol w:w="1417"/>
        <w:gridCol w:w="1701"/>
        <w:gridCol w:w="1701"/>
      </w:tblGrid>
      <w:tr w:rsidR="00DA606E" w:rsidTr="00DA606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A606E" w:rsidTr="00DA606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762824,79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945679,58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1109126,31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1454911,14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927,56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3,67051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813595,22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228111,73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99161,12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282517,30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203805,08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804,77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1017549,74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1123609,77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1197184,51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1565133,47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995,05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2,28757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3,94580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перекрестного субсидирования, учтенная в ценах (тарифах) на услуги по </w:t>
            </w:r>
            <w:r>
              <w:rPr>
                <w:rFonts w:ascii="Calibri" w:hAnsi="Calibri" w:cs="Calibri"/>
              </w:rPr>
              <w:lastRenderedPageBreak/>
              <w:t>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750938,80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193869,88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98475,13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190343,04</w:t>
            </w:r>
          </w:p>
        </w:tc>
      </w:tr>
      <w:tr w:rsidR="00DA606E" w:rsidTr="00DA606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772,82</w:t>
            </w:r>
          </w:p>
        </w:tc>
      </w:tr>
    </w:tbl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4"/>
      <w:bookmarkEnd w:id="3"/>
      <w:r>
        <w:rPr>
          <w:rFonts w:ascii="Calibri" w:hAnsi="Calibri" w:cs="Calibri"/>
        </w:rPr>
        <w:t xml:space="preserve">&lt;1&gt; В </w:t>
      </w:r>
      <w:hyperlink w:anchor="Par156" w:history="1">
        <w:r>
          <w:rPr>
            <w:rFonts w:ascii="Calibri" w:hAnsi="Calibri" w:cs="Calibri"/>
            <w:color w:val="0000FF"/>
          </w:rPr>
          <w:t>таблицах 1</w:t>
        </w:r>
      </w:hyperlink>
      <w:r>
        <w:rPr>
          <w:rFonts w:ascii="Calibri" w:hAnsi="Calibri" w:cs="Calibri"/>
        </w:rPr>
        <w:t xml:space="preserve"> и </w:t>
      </w:r>
      <w:hyperlink w:anchor="Par31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указаны величины, используемые при утверждении (расчете) единых (котловых) тарифов на услуги по передаче электрической энергии, оказываемые на территории Тверской области.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" w:name="Par156"/>
      <w:bookmarkEnd w:id="4"/>
      <w:r>
        <w:rPr>
          <w:rFonts w:ascii="Calibri" w:hAnsi="Calibri" w:cs="Calibri"/>
        </w:rPr>
        <w:t>Таблица 1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Тверской области на 2015 год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1417"/>
        <w:gridCol w:w="1418"/>
        <w:gridCol w:w="1417"/>
        <w:gridCol w:w="1417"/>
        <w:gridCol w:w="1417"/>
      </w:tblGrid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Тверской области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685178,80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710109,82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828433,32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1040906,80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903,32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2,82930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 (тарифы указываются без учета НДС)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2-е полугодие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1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x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762145,24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786158,75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918570,17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1155213,46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995,05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3,11239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Тверской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Тверской области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Центра" - "Тверьэнерго" в границах Тверской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5344160,51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Тверьоблэлектро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203104,52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Тверьгорэлектро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312234,92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2736,70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 дирекция по энергообеспечению -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81586,94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"Электромонтажная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18392,29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"Верхневолжский"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66909,94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Коминформ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12023,65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ЭнергоТверьИнвест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5773,77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Бологовский</w:t>
            </w:r>
            <w:proofErr w:type="spellEnd"/>
            <w:r>
              <w:rPr>
                <w:rFonts w:ascii="Calibri" w:hAnsi="Calibri" w:cs="Calibri"/>
              </w:rPr>
              <w:t xml:space="preserve"> арматурный завод"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3289,21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"ВНИИСВ"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205597,72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"Тверской стекольный завод"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441,16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ТверьЖилДорСтрой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431,13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"Тверские энергетические системы"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50545,07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"Инженерно-инвестиционная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12002,96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"Объединенная электросетевая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460113,70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211,64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"Орбита"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732,20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"Евро-Профи Плюс"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17174,99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"Электропередача"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41224,48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6835950,79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2736,70</w:t>
            </w:r>
          </w:p>
        </w:tc>
      </w:tr>
    </w:tbl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318"/>
      <w:bookmarkEnd w:id="5"/>
      <w:r>
        <w:rPr>
          <w:rFonts w:ascii="Calibri" w:hAnsi="Calibri" w:cs="Calibri"/>
        </w:rPr>
        <w:t>Таблица 2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 тарифов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на 2015 год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3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567"/>
        <w:gridCol w:w="284"/>
        <w:gridCol w:w="567"/>
        <w:gridCol w:w="680"/>
        <w:gridCol w:w="397"/>
        <w:gridCol w:w="1077"/>
        <w:gridCol w:w="116"/>
        <w:gridCol w:w="1077"/>
        <w:gridCol w:w="198"/>
        <w:gridCol w:w="1077"/>
        <w:gridCol w:w="57"/>
        <w:gridCol w:w="1077"/>
        <w:gridCol w:w="199"/>
        <w:gridCol w:w="1134"/>
        <w:gridCol w:w="1134"/>
        <w:gridCol w:w="1134"/>
        <w:gridCol w:w="1134"/>
        <w:gridCol w:w="1134"/>
      </w:tblGrid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Тверской области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638,69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87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03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126,50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87"/>
            <w:bookmarkEnd w:id="6"/>
            <w:r>
              <w:rPr>
                <w:rFonts w:ascii="Calibri" w:hAnsi="Calibri" w:cs="Calibri"/>
              </w:rPr>
              <w:lastRenderedPageBreak/>
              <w:t>1.1.2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48,82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403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</w:t>
            </w:r>
            <w:r>
              <w:rPr>
                <w:rFonts w:ascii="Calibri" w:hAnsi="Calibri" w:cs="Calibri"/>
              </w:rPr>
              <w:lastRenderedPageBreak/>
              <w:t>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r>
              <w:rPr>
                <w:rFonts w:ascii="Calibri" w:hAnsi="Calibri" w:cs="Calibri"/>
              </w:rPr>
              <w:lastRenderedPageBreak/>
              <w:t>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184,31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1.1.4.6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23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39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523"/>
            <w:bookmarkEnd w:id="8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rPr>
                <w:rFonts w:ascii="Calibri" w:hAnsi="Calibri" w:cs="Calibri"/>
              </w:rP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539"/>
            <w:bookmarkEnd w:id="9"/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1.2.4.4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 x 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541,65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253,25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246,30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147,18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213,01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195,11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133,44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117,71</w:t>
            </w:r>
          </w:p>
        </w:tc>
      </w:tr>
      <w:tr w:rsidR="00DA606E" w:rsidTr="00DA606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DA606E" w:rsidTr="00DA606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</w:t>
            </w:r>
            <w:r>
              <w:rPr>
                <w:rFonts w:ascii="Calibri" w:hAnsi="Calibri" w:cs="Calibri"/>
              </w:rPr>
              <w:lastRenderedPageBreak/>
              <w:t>мощности (в том числе с учетом дифференциации по двум и по трем зонам суток)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98"/>
      <w:bookmarkEnd w:id="10"/>
      <w:r>
        <w:rPr>
          <w:rFonts w:ascii="Calibri" w:hAnsi="Calibri" w:cs="Calibri"/>
        </w:rPr>
        <w:t>&lt;1&gt; Для категории, приравненной к населению, - содержащиеся за счет прихожан религиозные организации, расположенные в сельских населенных пунктах.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700"/>
      <w:bookmarkEnd w:id="11"/>
      <w:r>
        <w:rPr>
          <w:rFonts w:ascii="Calibri" w:hAnsi="Calibri" w:cs="Calibri"/>
        </w:rPr>
        <w:t>Единые (котловые) тарифы на услуги по передаче электрической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по сетям Тверской области, поставляемой населению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 на 2015 год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526"/>
        <w:gridCol w:w="1417"/>
        <w:gridCol w:w="1701"/>
        <w:gridCol w:w="1531"/>
      </w:tblGrid>
      <w:tr w:rsidR="00DA606E" w:rsidTr="00DA6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DA606E" w:rsidTr="00DA6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DA606E" w:rsidTr="00DA6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25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34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1,90398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725"/>
            <w:bookmarkEnd w:id="12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0,75417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0,94130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734"/>
            <w:bookmarkEnd w:id="13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0,73981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0,92517</w:t>
            </w:r>
          </w:p>
        </w:tc>
      </w:tr>
      <w:tr w:rsidR="00DA606E" w:rsidTr="00DA6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1,66449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1,91283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1,70284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1,94523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1,70097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1,94523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1,70692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1,94523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</w:t>
            </w:r>
            <w:hyperlink w:anchor="Par84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0,77911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90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99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790"/>
            <w:bookmarkEnd w:id="14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Fonts w:ascii="Calibri" w:hAnsi="Calibri" w:cs="Calibri"/>
              </w:rPr>
              <w:lastRenderedPageBreak/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799"/>
            <w:bookmarkEnd w:id="15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</w:t>
            </w:r>
            <w:r>
              <w:rPr>
                <w:rFonts w:ascii="Calibri" w:hAnsi="Calibri" w:cs="Calibri"/>
              </w:rPr>
              <w:lastRenderedPageBreak/>
              <w:t>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DA606E" w:rsidTr="00DA60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A606E" w:rsidTr="00DA60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x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06E" w:rsidRDefault="00DA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41"/>
      <w:bookmarkEnd w:id="16"/>
      <w:r>
        <w:rPr>
          <w:rFonts w:ascii="Calibri" w:hAnsi="Calibri" w:cs="Calibri"/>
        </w:rPr>
        <w:t>&lt;1&gt; Для категории, приравненной к населению - содержащиеся за счет прихожан религиозные организации, расположенные в сельских населенных пунктах.".</w:t>
      </w:r>
    </w:p>
    <w:p w:rsidR="00DA606E" w:rsidRDefault="00DA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1684" w:rsidRDefault="007C1684">
      <w:bookmarkStart w:id="17" w:name="_GoBack"/>
      <w:bookmarkEnd w:id="17"/>
    </w:p>
    <w:sectPr w:rsidR="007C1684" w:rsidSect="00DA606E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E"/>
    <w:rsid w:val="007C1684"/>
    <w:rsid w:val="00D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67F2-C0C4-4BCD-99EB-7273E2C8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7B659F4688A3BC065D8B456A63CF67868AED80483F50243B2969F9239hDH" TargetMode="External"/><Relationship Id="rId13" Type="http://schemas.openxmlformats.org/officeDocument/2006/relationships/hyperlink" Target="consultantplus://offline/ref=A5F7B659F4688A3BC065D8B456A63CF67867AADD0E85F50243B2969F929D3F65265756755034h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D8B456A63CF67867AADA0E87F50243B2969F929D3F6526575675584CCD043Bh5H" TargetMode="External"/><Relationship Id="rId12" Type="http://schemas.openxmlformats.org/officeDocument/2006/relationships/hyperlink" Target="consultantplus://offline/ref=A5F7B659F4688A3BC065D8B456A63CF67867AADD0E85F50243B2969F929D3F65265756755034h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867AADD0E85F50243B2969F9239hDH" TargetMode="External"/><Relationship Id="rId11" Type="http://schemas.openxmlformats.org/officeDocument/2006/relationships/hyperlink" Target="consultantplus://offline/ref=A5F7B659F4688A3BC065C6B940CA66F87F64F4D30B87F95019EDCDC2C594353261180F371C41CC05B6466B3Fh5H" TargetMode="External"/><Relationship Id="rId5" Type="http://schemas.openxmlformats.org/officeDocument/2006/relationships/hyperlink" Target="consultantplus://offline/ref=A5F7B659F4688A3BC065D8B456A63CF67868A8D70D80F50243B2969F929D3F6526575675584DCC023Bh6H" TargetMode="External"/><Relationship Id="rId15" Type="http://schemas.openxmlformats.org/officeDocument/2006/relationships/hyperlink" Target="consultantplus://offline/ref=A5F7B659F4688A3BC065D8B456A63CF67867AADD0E85F50243B2969F929D3F65265756755034hCH" TargetMode="External"/><Relationship Id="rId10" Type="http://schemas.openxmlformats.org/officeDocument/2006/relationships/hyperlink" Target="consultantplus://offline/ref=A5F7B659F4688A3BC065C6B940CA66F87F64F4D30B87F95019EDCDC2C594353236h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F7B659F4688A3BC065C6B940CA66F87F64F4D3088FF8501BEDCDC2C594353261180F371C41CC05B6446C3FhEH" TargetMode="External"/><Relationship Id="rId14" Type="http://schemas.openxmlformats.org/officeDocument/2006/relationships/hyperlink" Target="consultantplus://offline/ref=A5F7B659F4688A3BC065D8B456A63CF67867AADD0E85F50243B2969F929D3F65265756755034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6553</Words>
  <Characters>37356</Characters>
  <Application>Microsoft Office Word</Application>
  <DocSecurity>0</DocSecurity>
  <Lines>311</Lines>
  <Paragraphs>87</Paragraphs>
  <ScaleCrop>false</ScaleCrop>
  <Company/>
  <LinksUpToDate>false</LinksUpToDate>
  <CharactersWithSpaces>43822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2015-07-15T07:33:00Z</dcterms:created>
  <dcterms:modified xsi:type="dcterms:W3CDTF">2015-07-15T07:40:00Z</dcterms:modified>
</cp:coreProperties>
</file>