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25E10" w:rsidRPr="00E25E10" w:rsidTr="00E25E10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25E10" w:rsidRPr="00E25E10" w:rsidRDefault="00E25E10" w:rsidP="00E25E1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E25E1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Решение 51/3-ээ-2016 от 29.12.2015. О сбытовых надбавках гарантирующего поставщик</w:t>
            </w:r>
            <w:proofErr w:type="gramStart"/>
            <w:r w:rsidRPr="00E25E1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а ООО</w:t>
            </w:r>
            <w:proofErr w:type="gramEnd"/>
            <w:r w:rsidRPr="00E25E1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 «РУСЭНЕРГОСБЫТ»</w:t>
            </w:r>
          </w:p>
        </w:tc>
      </w:tr>
      <w:tr w:rsidR="00E25E10" w:rsidRPr="00E25E10" w:rsidTr="00E25E10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E25E10" w:rsidRPr="00E25E10" w:rsidRDefault="00E25E10" w:rsidP="00E25E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8"/>
                <w:lang w:eastAsia="ru-RU"/>
              </w:rPr>
            </w:pPr>
          </w:p>
        </w:tc>
      </w:tr>
      <w:tr w:rsidR="00E25E10" w:rsidRPr="00E25E10" w:rsidTr="00E25E10">
        <w:trPr>
          <w:trHeight w:val="15"/>
          <w:tblCellSpacing w:w="0" w:type="dxa"/>
        </w:trPr>
        <w:tc>
          <w:tcPr>
            <w:tcW w:w="9000" w:type="dxa"/>
            <w:vAlign w:val="center"/>
            <w:hideMark/>
          </w:tcPr>
          <w:p w:rsidR="00E25E10" w:rsidRPr="00E25E10" w:rsidRDefault="00E25E10" w:rsidP="00E25E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"/>
                <w:szCs w:val="18"/>
                <w:lang w:eastAsia="ru-RU"/>
              </w:rPr>
            </w:pPr>
          </w:p>
        </w:tc>
      </w:tr>
      <w:tr w:rsidR="00E25E10" w:rsidRPr="00E25E10" w:rsidTr="00E25E10">
        <w:trPr>
          <w:trHeight w:val="450"/>
          <w:tblCellSpacing w:w="0" w:type="dxa"/>
        </w:trPr>
        <w:tc>
          <w:tcPr>
            <w:tcW w:w="0" w:type="auto"/>
            <w:hideMark/>
          </w:tcPr>
          <w:p w:rsidR="00E25E10" w:rsidRPr="00E25E10" w:rsidRDefault="00E25E10" w:rsidP="00E25E1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E10">
              <w:rPr>
                <w:rFonts w:ascii="Arial" w:eastAsia="Times New Roman" w:hAnsi="Arial" w:cs="Arial"/>
                <w:noProof/>
                <w:color w:val="006699"/>
                <w:sz w:val="18"/>
                <w:szCs w:val="18"/>
                <w:lang w:eastAsia="ru-RU"/>
              </w:rPr>
              <w:drawing>
                <wp:inline distT="0" distB="0" distL="0" distR="0" wp14:anchorId="7EE5EDCB" wp14:editId="55E079DC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E10" w:rsidRPr="00E25E10" w:rsidRDefault="00E25E10" w:rsidP="00E25E1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E10">
              <w:rPr>
                <w:rFonts w:ascii="Arial" w:eastAsia="Times New Roman" w:hAnsi="Arial" w:cs="Arial"/>
                <w:noProof/>
                <w:color w:val="006699"/>
                <w:sz w:val="18"/>
                <w:szCs w:val="18"/>
                <w:lang w:eastAsia="ru-RU"/>
              </w:rPr>
              <w:drawing>
                <wp:inline distT="0" distB="0" distL="0" distR="0" wp14:anchorId="1FAFC32B" wp14:editId="34DEFEB8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E10" w:rsidRPr="00E25E10" w:rsidTr="00E25E10">
        <w:trPr>
          <w:tblCellSpacing w:w="0" w:type="dxa"/>
        </w:trPr>
        <w:tc>
          <w:tcPr>
            <w:tcW w:w="9000" w:type="dxa"/>
            <w:hideMark/>
          </w:tcPr>
          <w:p w:rsidR="00E25E10" w:rsidRPr="00E25E10" w:rsidRDefault="00E25E10" w:rsidP="00E2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</w:pPr>
            <w:r w:rsidRPr="00E25E10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  <w:t>РЕГИОНАЛЬНАЯ СЛУЖБА ПО ТАРИФАМ</w:t>
            </w:r>
            <w:r w:rsidRPr="00E25E10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  <w:br/>
              <w:t>КИРОВСКОЙ ОБЛАСТИ</w:t>
            </w:r>
            <w:r w:rsidRPr="00E25E10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  <w:br/>
              <w:t>РЕШЕНИЕ ПРАВЛЕНИЯ</w:t>
            </w:r>
          </w:p>
          <w:p w:rsidR="00E25E10" w:rsidRPr="00E25E10" w:rsidRDefault="00E25E10" w:rsidP="00E25E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</w:pP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2"/>
              <w:gridCol w:w="5198"/>
            </w:tblGrid>
            <w:tr w:rsidR="00E25E10" w:rsidRPr="00E25E10">
              <w:trPr>
                <w:tblCellSpacing w:w="0" w:type="dxa"/>
              </w:trPr>
              <w:tc>
                <w:tcPr>
                  <w:tcW w:w="3675" w:type="dxa"/>
                  <w:hideMark/>
                </w:tcPr>
                <w:p w:rsidR="00E25E10" w:rsidRPr="00E25E10" w:rsidRDefault="00E25E10" w:rsidP="00E25E10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  <w:lang w:eastAsia="ru-RU"/>
                    </w:rPr>
                  </w:pPr>
                  <w:r w:rsidRPr="00E25E1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  <w:lang w:eastAsia="ru-RU"/>
                    </w:rPr>
                    <w:t>О сбытовых надбавках гарантирующего поставщик</w:t>
                  </w:r>
                  <w:proofErr w:type="gramStart"/>
                  <w:r w:rsidRPr="00E25E1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  <w:lang w:eastAsia="ru-RU"/>
                    </w:rPr>
                    <w:t>а ООО</w:t>
                  </w:r>
                  <w:proofErr w:type="gramEnd"/>
                  <w:r w:rsidRPr="00E25E1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  <w:lang w:eastAsia="ru-RU"/>
                    </w:rPr>
                    <w:t xml:space="preserve"> «РУСЭНЕРГОСБЫТ»</w:t>
                  </w:r>
                </w:p>
              </w:tc>
              <w:tc>
                <w:tcPr>
                  <w:tcW w:w="5025" w:type="dxa"/>
                  <w:vAlign w:val="center"/>
                  <w:hideMark/>
                </w:tcPr>
                <w:p w:rsidR="00E25E10" w:rsidRPr="00E25E10" w:rsidRDefault="00E25E10" w:rsidP="00E25E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  <w:lang w:eastAsia="ru-RU"/>
                    </w:rPr>
                  </w:pPr>
                  <w:r w:rsidRPr="00E25E1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  <w:lang w:eastAsia="ru-RU"/>
                    </w:rPr>
                    <w:t> </w:t>
                  </w:r>
                </w:p>
              </w:tc>
            </w:tr>
          </w:tbl>
          <w:p w:rsidR="00E25E10" w:rsidRPr="00E25E10" w:rsidRDefault="00E25E10" w:rsidP="00E25E10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</w:pPr>
            <w:r w:rsidRPr="00E25E10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  <w:t>№ 51/3-ээ-2016 от 29.12.2015</w:t>
            </w:r>
          </w:p>
          <w:p w:rsidR="00E25E10" w:rsidRPr="00E25E10" w:rsidRDefault="00E25E10" w:rsidP="00E25E10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</w:pPr>
            <w:r w:rsidRPr="00E25E10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электроэнергетике» и «Методическими указаниями по расчету сбытовых надбавок гарантирующих поставщиков и размера доходности </w:t>
            </w:r>
            <w:proofErr w:type="gramStart"/>
            <w:r w:rsidRPr="00E25E10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  <w:t>продаж</w:t>
            </w:r>
            <w:proofErr w:type="gramEnd"/>
            <w:r w:rsidRPr="00E25E10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  <w:t xml:space="preserve"> гарантирующих поставщиков», утвержденными приказом ФСТ России от 30.10.2012 № 703-э и Положением о региональной службе по тарифам Кировской области, утвержденным постановлением Правительства Кировской области от 01.09.2008 № 144/365, правление региональной службы по тарифам Кировской области РЕШИЛО: </w:t>
            </w:r>
            <w:r w:rsidRPr="00E25E10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  <w:br/>
            </w:r>
            <w:r w:rsidRPr="00E25E10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  <w:br/>
              <w:t>Установить сбытовые надбавки для гарантирующего поставщика общества с ограниченной ответственностью «РУСЭНЕРГОСБЫТ» на территории Кировской области на 2016 год согласно приложению. </w:t>
            </w:r>
            <w:r w:rsidRPr="00E25E10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  <w:br/>
            </w:r>
            <w:r w:rsidRPr="00E25E10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  <w:br/>
              <w:t>Налог на добавленную стоимость взимается сверх указанных величин сбытовых надбавок. </w:t>
            </w:r>
          </w:p>
          <w:p w:rsidR="00E25E10" w:rsidRPr="00E25E10" w:rsidRDefault="00E25E10" w:rsidP="00E25E10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</w:pPr>
            <w:r w:rsidRPr="00E25E10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  <w:t xml:space="preserve">Руководитель службы </w:t>
            </w:r>
            <w:proofErr w:type="spellStart"/>
            <w:r w:rsidRPr="00E25E10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  <w:t>Н.В.Беляева</w:t>
            </w:r>
            <w:proofErr w:type="spellEnd"/>
          </w:p>
          <w:p w:rsidR="00E25E10" w:rsidRDefault="00E25E10" w:rsidP="00E25E10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  <w:t>Дата публикации 30.12.201</w:t>
            </w:r>
          </w:p>
          <w:p w:rsidR="00E25E10" w:rsidRDefault="00E25E10" w:rsidP="00E25E10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val="en-US" w:eastAsia="ru-RU"/>
              </w:rPr>
            </w:pPr>
          </w:p>
          <w:p w:rsidR="00E25E10" w:rsidRDefault="00E25E10" w:rsidP="00E25E10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val="en-US" w:eastAsia="ru-RU"/>
              </w:rPr>
            </w:pPr>
          </w:p>
          <w:p w:rsidR="00E25E10" w:rsidRDefault="00E25E10" w:rsidP="00E25E10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val="en-US" w:eastAsia="ru-RU"/>
              </w:rPr>
            </w:pPr>
          </w:p>
          <w:p w:rsidR="00E25E10" w:rsidRDefault="00E25E10" w:rsidP="00E25E10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val="en-US" w:eastAsia="ru-RU"/>
              </w:rPr>
            </w:pPr>
          </w:p>
          <w:p w:rsidR="00E25E10" w:rsidRDefault="00E25E10" w:rsidP="00E25E10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val="en-US" w:eastAsia="ru-RU"/>
              </w:rPr>
            </w:pPr>
          </w:p>
          <w:p w:rsidR="00E25E10" w:rsidRDefault="00E25E10" w:rsidP="00E25E10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val="en-US" w:eastAsia="ru-RU"/>
              </w:rPr>
            </w:pPr>
          </w:p>
          <w:p w:rsidR="00E25E10" w:rsidRDefault="00E25E10" w:rsidP="00E25E10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val="en-US" w:eastAsia="ru-RU"/>
              </w:rPr>
            </w:pPr>
          </w:p>
          <w:p w:rsidR="00E25E10" w:rsidRDefault="00E25E10" w:rsidP="00E25E10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val="en-US" w:eastAsia="ru-RU"/>
              </w:rPr>
            </w:pPr>
          </w:p>
          <w:p w:rsidR="00E25E10" w:rsidRDefault="00E25E10" w:rsidP="00E25E10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val="en-US" w:eastAsia="ru-RU"/>
              </w:rPr>
            </w:pPr>
          </w:p>
          <w:p w:rsidR="00E25E10" w:rsidRDefault="00E25E10" w:rsidP="00E25E10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val="en-US" w:eastAsia="ru-RU"/>
              </w:rPr>
            </w:pPr>
          </w:p>
          <w:p w:rsidR="00E25E10" w:rsidRDefault="00E25E10" w:rsidP="00E25E10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val="en-US" w:eastAsia="ru-RU"/>
              </w:rPr>
            </w:pPr>
          </w:p>
          <w:p w:rsidR="00E25E10" w:rsidRDefault="00E25E10" w:rsidP="00E25E10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val="en-US" w:eastAsia="ru-RU"/>
              </w:rPr>
            </w:pPr>
          </w:p>
          <w:p w:rsidR="00E25E10" w:rsidRDefault="00E25E10" w:rsidP="00E25E10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val="en-US" w:eastAsia="ru-RU"/>
              </w:rPr>
            </w:pPr>
          </w:p>
          <w:p w:rsidR="00E25E10" w:rsidRDefault="00E25E10" w:rsidP="00E25E10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val="en-US" w:eastAsia="ru-RU"/>
              </w:rPr>
            </w:pPr>
          </w:p>
          <w:p w:rsidR="00E25E10" w:rsidRDefault="00E25E10" w:rsidP="00E25E10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val="en-US" w:eastAsia="ru-RU"/>
              </w:rPr>
            </w:pPr>
          </w:p>
          <w:p w:rsidR="00E25E10" w:rsidRPr="00E25E10" w:rsidRDefault="00E25E10" w:rsidP="00E25E10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val="en-US" w:eastAsia="ru-RU"/>
              </w:rPr>
            </w:pPr>
          </w:p>
        </w:tc>
      </w:tr>
      <w:tr w:rsidR="00E25E10" w:rsidRPr="00E25E10" w:rsidTr="00E25E10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E25E10" w:rsidRPr="00E25E10" w:rsidRDefault="00E25E10" w:rsidP="00E25E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u w:val="single"/>
                <w:lang w:eastAsia="ru-RU"/>
              </w:rPr>
            </w:pPr>
          </w:p>
        </w:tc>
      </w:tr>
    </w:tbl>
    <w:p w:rsidR="00E25E10" w:rsidRPr="00E25E10" w:rsidRDefault="00E25E10" w:rsidP="00E25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25E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25E10" w:rsidTr="00E25E10">
        <w:tc>
          <w:tcPr>
            <w:tcW w:w="9853" w:type="dxa"/>
            <w:hideMark/>
          </w:tcPr>
          <w:p w:rsidR="00E25E10" w:rsidRDefault="00E25E10" w:rsidP="00E25E10">
            <w:pPr>
              <w:autoSpaceDE w:val="0"/>
              <w:autoSpaceDN w:val="0"/>
              <w:adjustRightInd w:val="0"/>
              <w:spacing w:after="0"/>
              <w:ind w:right="38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E25E10" w:rsidRDefault="00E25E10" w:rsidP="00E25E10">
            <w:pPr>
              <w:autoSpaceDE w:val="0"/>
              <w:autoSpaceDN w:val="0"/>
              <w:adjustRightInd w:val="0"/>
              <w:spacing w:after="0"/>
              <w:ind w:right="38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правления</w:t>
            </w:r>
          </w:p>
          <w:p w:rsidR="00E25E10" w:rsidRDefault="00E25E10" w:rsidP="00E25E10">
            <w:pPr>
              <w:autoSpaceDE w:val="0"/>
              <w:autoSpaceDN w:val="0"/>
              <w:adjustRightInd w:val="0"/>
              <w:spacing w:after="0"/>
              <w:ind w:right="38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РСТ Кировской области</w:t>
            </w:r>
          </w:p>
          <w:p w:rsidR="00E25E10" w:rsidRDefault="00E25E10" w:rsidP="00E25E10">
            <w:pPr>
              <w:autoSpaceDE w:val="0"/>
              <w:autoSpaceDN w:val="0"/>
              <w:adjustRightInd w:val="0"/>
              <w:spacing w:after="0"/>
              <w:ind w:right="38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29.12.2015 № 51/3-ээ-2016</w:t>
            </w:r>
          </w:p>
        </w:tc>
      </w:tr>
    </w:tbl>
    <w:p w:rsidR="00E25E10" w:rsidRDefault="00E25E10" w:rsidP="00E25E10">
      <w:pPr>
        <w:autoSpaceDE w:val="0"/>
        <w:autoSpaceDN w:val="0"/>
        <w:adjustRightInd w:val="0"/>
        <w:ind w:right="381"/>
        <w:jc w:val="right"/>
        <w:outlineLvl w:val="0"/>
        <w:rPr>
          <w:sz w:val="20"/>
          <w:szCs w:val="20"/>
        </w:rPr>
      </w:pPr>
    </w:p>
    <w:p w:rsidR="00E25E10" w:rsidRDefault="00E25E10" w:rsidP="00E25E10">
      <w:pPr>
        <w:autoSpaceDE w:val="0"/>
        <w:autoSpaceDN w:val="0"/>
        <w:adjustRightInd w:val="0"/>
        <w:jc w:val="center"/>
        <w:outlineLvl w:val="0"/>
      </w:pPr>
    </w:p>
    <w:p w:rsidR="00E25E10" w:rsidRDefault="00E25E10" w:rsidP="00E25E10">
      <w:pPr>
        <w:autoSpaceDE w:val="0"/>
        <w:autoSpaceDN w:val="0"/>
        <w:adjustRightInd w:val="0"/>
        <w:jc w:val="center"/>
        <w:outlineLvl w:val="0"/>
      </w:pPr>
    </w:p>
    <w:p w:rsidR="00E25E10" w:rsidRDefault="00E25E10" w:rsidP="00E25E10">
      <w:pPr>
        <w:autoSpaceDE w:val="0"/>
        <w:autoSpaceDN w:val="0"/>
        <w:adjustRightInd w:val="0"/>
        <w:jc w:val="center"/>
        <w:outlineLvl w:val="0"/>
      </w:pPr>
    </w:p>
    <w:p w:rsidR="00E25E10" w:rsidRDefault="00E25E10" w:rsidP="00E25E10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Сбытовые надбавки гарантирующего поставщика электрической энергии на территории Кировской области на 2016 год</w:t>
      </w:r>
    </w:p>
    <w:p w:rsidR="00E25E10" w:rsidRDefault="00E25E10" w:rsidP="00E25E1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E25E10" w:rsidRDefault="00E25E10" w:rsidP="00E25E1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W w:w="978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0"/>
        <w:gridCol w:w="3403"/>
        <w:gridCol w:w="3260"/>
      </w:tblGrid>
      <w:tr w:rsidR="00E25E10" w:rsidTr="00E25E10">
        <w:trPr>
          <w:trHeight w:val="326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 w:colFirst="0" w:colLast="0"/>
            <w:r>
              <w:t>№</w:t>
            </w:r>
          </w:p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гарантирующего</w:t>
            </w:r>
          </w:p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поставщика в субъекте</w:t>
            </w:r>
          </w:p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Российской Федерации</w:t>
            </w:r>
          </w:p>
        </w:tc>
        <w:tc>
          <w:tcPr>
            <w:tcW w:w="6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Сбытовая надбавка</w:t>
            </w:r>
          </w:p>
        </w:tc>
      </w:tr>
      <w:bookmarkEnd w:id="0"/>
      <w:tr w:rsidR="00E25E10" w:rsidTr="00E25E10">
        <w:trPr>
          <w:trHeight w:val="6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тарифная группа потребителей «население» и</w:t>
            </w:r>
          </w:p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приравненные к нему категории потребителей</w:t>
            </w:r>
          </w:p>
        </w:tc>
      </w:tr>
      <w:tr w:rsidR="00E25E10" w:rsidTr="00E25E10">
        <w:trPr>
          <w:trHeight w:val="353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</w:tr>
      <w:tr w:rsidR="00E25E10" w:rsidTr="00E25E10"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полугодие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полугодие</w:t>
            </w:r>
          </w:p>
        </w:tc>
      </w:tr>
      <w:tr w:rsidR="00E25E10" w:rsidTr="00E25E1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25E10" w:rsidTr="00E25E1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 «РУСЭНЕРГОСБЫТ»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0,07706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0,08203</w:t>
            </w:r>
          </w:p>
        </w:tc>
      </w:tr>
    </w:tbl>
    <w:p w:rsidR="00E25E10" w:rsidRDefault="00E25E10" w:rsidP="00E25E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25E10" w:rsidRDefault="00E25E10" w:rsidP="00E25E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78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0"/>
        <w:gridCol w:w="2975"/>
        <w:gridCol w:w="3688"/>
      </w:tblGrid>
      <w:tr w:rsidR="00E25E10" w:rsidTr="00E25E10">
        <w:trPr>
          <w:trHeight w:val="309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гарантирующего</w:t>
            </w:r>
          </w:p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поставщика в субъекте</w:t>
            </w:r>
          </w:p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Российской Федерации</w:t>
            </w:r>
          </w:p>
        </w:tc>
        <w:tc>
          <w:tcPr>
            <w:tcW w:w="6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Сбытовая надбавка</w:t>
            </w:r>
          </w:p>
        </w:tc>
      </w:tr>
      <w:tr w:rsidR="00E25E10" w:rsidTr="00E25E10">
        <w:trPr>
          <w:trHeight w:val="861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Тарифная группа потребителей «сетевые организации, покупающие электрическую энергию для компенсации потерь электрической энергии»</w:t>
            </w:r>
          </w:p>
        </w:tc>
      </w:tr>
      <w:tr w:rsidR="00E25E10" w:rsidTr="00E25E10">
        <w:trPr>
          <w:trHeight w:val="29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</w:tr>
      <w:tr w:rsidR="00E25E10" w:rsidTr="00E25E10"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полугодие</w:t>
            </w:r>
          </w:p>
        </w:tc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полугодие</w:t>
            </w:r>
          </w:p>
        </w:tc>
      </w:tr>
      <w:tr w:rsidR="00E25E10" w:rsidTr="00E25E1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25E10" w:rsidTr="00E25E1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общество с ограниченной ответственностью «РУСЭНЕРГОСБЫТ»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0,08569</w:t>
            </w:r>
          </w:p>
        </w:tc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0,08425</w:t>
            </w:r>
          </w:p>
        </w:tc>
      </w:tr>
    </w:tbl>
    <w:p w:rsidR="00E25E10" w:rsidRDefault="00E25E10" w:rsidP="00E25E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25E10" w:rsidRDefault="00E25E10" w:rsidP="00E25E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78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0"/>
        <w:gridCol w:w="2975"/>
        <w:gridCol w:w="3688"/>
      </w:tblGrid>
      <w:tr w:rsidR="00E25E10" w:rsidTr="00E25E10">
        <w:trPr>
          <w:trHeight w:val="353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гарантирующего</w:t>
            </w:r>
          </w:p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поставщика в субъекте</w:t>
            </w:r>
          </w:p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Российской Федерации</w:t>
            </w:r>
          </w:p>
        </w:tc>
        <w:tc>
          <w:tcPr>
            <w:tcW w:w="6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Сбытовая надбавка</w:t>
            </w:r>
          </w:p>
        </w:tc>
      </w:tr>
      <w:tr w:rsidR="00E25E10" w:rsidTr="00E25E10">
        <w:trPr>
          <w:trHeight w:val="401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Тарифная группа «прочие потребители»*</w:t>
            </w:r>
          </w:p>
        </w:tc>
      </w:tr>
      <w:tr w:rsidR="00E25E10" w:rsidTr="00E25E10">
        <w:trPr>
          <w:trHeight w:val="4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виде формулы на розничном рынке на территориях, объединенных в ценовые зоны оптового рынка**</w:t>
            </w:r>
          </w:p>
        </w:tc>
      </w:tr>
      <w:tr w:rsidR="00E25E10" w:rsidTr="00E25E10"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полугодие</w:t>
            </w:r>
          </w:p>
        </w:tc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полугодие</w:t>
            </w:r>
          </w:p>
        </w:tc>
      </w:tr>
      <w:tr w:rsidR="00E25E10" w:rsidTr="00E25E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25E10" w:rsidTr="00E25E10">
        <w:trPr>
          <w:trHeight w:val="1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 «РУСЭНЕРГОСБЫТ»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СН</w:t>
            </w:r>
            <w:r>
              <w:rPr>
                <w:vertAlign w:val="subscript"/>
              </w:rPr>
              <w:t>до</w:t>
            </w:r>
            <w:proofErr w:type="spellEnd"/>
            <w:r>
              <w:rPr>
                <w:vertAlign w:val="subscript"/>
              </w:rPr>
              <w:t xml:space="preserve"> 150 кВт</w:t>
            </w:r>
            <w:r>
              <w:t>=</w:t>
            </w:r>
          </w:p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t>14,47%*0,90*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  <w:r>
              <w:rPr>
                <w:vertAlign w:val="subscript"/>
                <w:lang w:val="en-US"/>
              </w:rPr>
              <w:t>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СН</w:t>
            </w:r>
            <w:r>
              <w:rPr>
                <w:vertAlign w:val="subscript"/>
              </w:rPr>
              <w:t>до</w:t>
            </w:r>
            <w:proofErr w:type="spellEnd"/>
            <w:r>
              <w:rPr>
                <w:vertAlign w:val="subscript"/>
              </w:rPr>
              <w:t xml:space="preserve"> 150 кВт</w:t>
            </w:r>
            <w:r>
              <w:t>=</w:t>
            </w:r>
          </w:p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t>14,72%*0,83*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  <w:r>
              <w:rPr>
                <w:vertAlign w:val="subscript"/>
                <w:lang w:val="en-US"/>
              </w:rPr>
              <w:t>j</w:t>
            </w:r>
          </w:p>
        </w:tc>
      </w:tr>
      <w:tr w:rsidR="00E25E10" w:rsidTr="00E25E10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СН</w:t>
            </w:r>
            <w:r>
              <w:rPr>
                <w:vertAlign w:val="subscript"/>
              </w:rPr>
              <w:t>от</w:t>
            </w:r>
            <w:proofErr w:type="spellEnd"/>
            <w:r>
              <w:rPr>
                <w:vertAlign w:val="subscript"/>
              </w:rPr>
              <w:t xml:space="preserve"> 150 до 670 кВт</w:t>
            </w:r>
            <w:r>
              <w:t>=</w:t>
            </w:r>
          </w:p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t>13,30%*0,90*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  <w:r>
              <w:rPr>
                <w:vertAlign w:val="subscript"/>
                <w:lang w:val="en-US"/>
              </w:rPr>
              <w:t>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СН</w:t>
            </w:r>
            <w:r>
              <w:rPr>
                <w:vertAlign w:val="subscript"/>
              </w:rPr>
              <w:t>от</w:t>
            </w:r>
            <w:proofErr w:type="spellEnd"/>
            <w:r>
              <w:rPr>
                <w:vertAlign w:val="subscript"/>
              </w:rPr>
              <w:t xml:space="preserve"> 150 до 670 кВт</w:t>
            </w:r>
            <w:r>
              <w:t>=</w:t>
            </w:r>
          </w:p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t>13,53%*0,83*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  <w:r>
              <w:rPr>
                <w:vertAlign w:val="subscript"/>
                <w:lang w:val="en-US"/>
              </w:rPr>
              <w:t>j</w:t>
            </w:r>
          </w:p>
        </w:tc>
      </w:tr>
      <w:tr w:rsidR="00E25E10" w:rsidTr="00E25E10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СН</w:t>
            </w:r>
            <w:r>
              <w:rPr>
                <w:vertAlign w:val="subscript"/>
              </w:rPr>
              <w:t>от</w:t>
            </w:r>
            <w:proofErr w:type="spellEnd"/>
            <w:r>
              <w:rPr>
                <w:vertAlign w:val="subscript"/>
              </w:rPr>
              <w:t xml:space="preserve"> 670 кВт до 10МВт</w:t>
            </w:r>
            <w:r>
              <w:t>=</w:t>
            </w:r>
          </w:p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t>9,06%*0,90*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  <w:r>
              <w:rPr>
                <w:vertAlign w:val="subscript"/>
                <w:lang w:val="en-US"/>
              </w:rPr>
              <w:t>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СН</w:t>
            </w:r>
            <w:r>
              <w:rPr>
                <w:vertAlign w:val="subscript"/>
              </w:rPr>
              <w:t>от</w:t>
            </w:r>
            <w:proofErr w:type="spellEnd"/>
            <w:r>
              <w:rPr>
                <w:vertAlign w:val="subscript"/>
              </w:rPr>
              <w:t xml:space="preserve"> 670 кВт до 10МВт</w:t>
            </w:r>
            <w:r>
              <w:t>=</w:t>
            </w:r>
          </w:p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t>9,22%*0,83*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  <w:r>
              <w:rPr>
                <w:vertAlign w:val="subscript"/>
                <w:lang w:val="en-US"/>
              </w:rPr>
              <w:t>j</w:t>
            </w:r>
          </w:p>
        </w:tc>
      </w:tr>
      <w:tr w:rsidR="00E25E10" w:rsidTr="00E25E10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СН</w:t>
            </w:r>
            <w:r>
              <w:rPr>
                <w:vertAlign w:val="subscript"/>
              </w:rPr>
              <w:t>не</w:t>
            </w:r>
            <w:proofErr w:type="spellEnd"/>
            <w:r>
              <w:rPr>
                <w:vertAlign w:val="subscript"/>
              </w:rPr>
              <w:t xml:space="preserve"> менее 10МВт</w:t>
            </w:r>
            <w:r>
              <w:t>=</w:t>
            </w:r>
          </w:p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t>5,26%*0,90*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  <w:r>
              <w:rPr>
                <w:vertAlign w:val="subscript"/>
                <w:lang w:val="en-US"/>
              </w:rPr>
              <w:t>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СН</w:t>
            </w:r>
            <w:r>
              <w:rPr>
                <w:vertAlign w:val="subscript"/>
              </w:rPr>
              <w:t>не</w:t>
            </w:r>
            <w:proofErr w:type="spellEnd"/>
            <w:r>
              <w:rPr>
                <w:vertAlign w:val="subscript"/>
              </w:rPr>
              <w:t xml:space="preserve"> менее 10МВт</w:t>
            </w:r>
            <w:r>
              <w:t>=</w:t>
            </w:r>
          </w:p>
          <w:p w:rsidR="00E25E10" w:rsidRDefault="00E25E10" w:rsidP="00E25E10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t>5,35%*0,83*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  <w:r>
              <w:rPr>
                <w:vertAlign w:val="subscript"/>
                <w:lang w:val="en-US"/>
              </w:rPr>
              <w:t>j</w:t>
            </w:r>
          </w:p>
        </w:tc>
      </w:tr>
    </w:tbl>
    <w:p w:rsidR="00E25E10" w:rsidRDefault="00E25E10" w:rsidP="00E25E10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13764" w:type="dxa"/>
        <w:tblInd w:w="108" w:type="dxa"/>
        <w:tblLook w:val="04A0" w:firstRow="1" w:lastRow="0" w:firstColumn="1" w:lastColumn="0" w:noHBand="0" w:noVBand="1"/>
      </w:tblPr>
      <w:tblGrid>
        <w:gridCol w:w="13764"/>
      </w:tblGrid>
      <w:tr w:rsidR="00E25E10" w:rsidTr="00E25E10">
        <w:trPr>
          <w:trHeight w:val="255"/>
        </w:trPr>
        <w:tc>
          <w:tcPr>
            <w:tcW w:w="13764" w:type="dxa"/>
            <w:noWrap/>
            <w:vAlign w:val="bottom"/>
          </w:tcPr>
          <w:p w:rsidR="00E25E10" w:rsidRDefault="00E25E10" w:rsidP="00E25E10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137744" wp14:editId="53D3283F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53975</wp:posOffset>
                  </wp:positionV>
                  <wp:extent cx="314325" cy="257175"/>
                  <wp:effectExtent l="0" t="0" r="9525" b="9525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0"/>
            </w:tblGrid>
            <w:tr w:rsidR="00E25E10">
              <w:trPr>
                <w:tblCellSpacing w:w="0" w:type="dxa"/>
              </w:trPr>
              <w:tc>
                <w:tcPr>
                  <w:tcW w:w="10600" w:type="dxa"/>
                  <w:noWrap/>
                  <w:vAlign w:val="bottom"/>
                  <w:hideMark/>
                </w:tcPr>
                <w:p w:rsidR="00E25E10" w:rsidRDefault="00E25E10" w:rsidP="00E25E10">
                  <w:pPr>
                    <w:ind w:right="927"/>
                  </w:pPr>
                  <w:r>
                    <w:t>_____-_j-</w:t>
                  </w:r>
                  <w:proofErr w:type="spellStart"/>
                  <w:r>
                    <w:t>ый</w:t>
                  </w:r>
                  <w:proofErr w:type="spellEnd"/>
                  <w:r>
                    <w:t xml:space="preserve"> вид цены на электрическую энергию и (или) мощность k-</w:t>
                  </w:r>
                  <w:proofErr w:type="spellStart"/>
                  <w:r>
                    <w:t>го</w:t>
                  </w:r>
                  <w:proofErr w:type="spellEnd"/>
                  <w:r>
                    <w:t xml:space="preserve"> ГП, руб./</w:t>
                  </w:r>
                  <w:proofErr w:type="spellStart"/>
                  <w:r>
                    <w:t>кВт·ч</w:t>
                  </w:r>
                  <w:proofErr w:type="spellEnd"/>
                  <w:r>
                    <w:t xml:space="preserve"> или руб./кВт, указанный в п. 16 Методических указаний по расчету сбытовых надбавок гарантирующих поставщиков и размера доходности </w:t>
                  </w:r>
                  <w:proofErr w:type="gramStart"/>
                  <w:r>
                    <w:t>продаж</w:t>
                  </w:r>
                  <w:proofErr w:type="gramEnd"/>
                  <w:r>
                    <w:t xml:space="preserve"> гарантирующих поставщиков, утвержденных приказом ФСТ России от 30.10.2012 № 703-э (зарегистрировано в Минюсте России 29.11.2012, регистрационный № 25975);</w:t>
                  </w:r>
                </w:p>
              </w:tc>
            </w:tr>
          </w:tbl>
          <w:p w:rsidR="00E25E10" w:rsidRDefault="00E25E10" w:rsidP="00E25E10"/>
        </w:tc>
      </w:tr>
    </w:tbl>
    <w:p w:rsidR="00E25E10" w:rsidRDefault="00E25E10" w:rsidP="00E25E10">
      <w:pPr>
        <w:rPr>
          <w:sz w:val="20"/>
          <w:szCs w:val="20"/>
        </w:rPr>
      </w:pPr>
    </w:p>
    <w:p w:rsidR="00E25E10" w:rsidRDefault="00E25E10" w:rsidP="00E25E10"/>
    <w:p w:rsidR="00E25E10" w:rsidRDefault="00E25E10" w:rsidP="00E25E10">
      <w:proofErr w:type="spellStart"/>
      <w:r>
        <w:t>ДП</w:t>
      </w:r>
      <w:r>
        <w:rPr>
          <w:vertAlign w:val="subscript"/>
        </w:rPr>
        <w:t>i.k</w:t>
      </w:r>
      <w:proofErr w:type="spellEnd"/>
      <w:r>
        <w:rPr>
          <w:color w:val="FFFFFF"/>
        </w:rPr>
        <w:t>_</w:t>
      </w:r>
      <w:r>
        <w:t>-</w:t>
      </w:r>
      <w:r>
        <w:rPr>
          <w:color w:val="FFFFFF"/>
        </w:rPr>
        <w:t>_</w:t>
      </w:r>
      <w:r>
        <w:t xml:space="preserve">доходность продаж, определяемая в соответствии с Методическими указаниями по расчету сбытовых надбавок гарантирующих поставщиков и размера доходности </w:t>
      </w:r>
      <w:proofErr w:type="gramStart"/>
      <w:r>
        <w:t>продаж</w:t>
      </w:r>
      <w:proofErr w:type="gramEnd"/>
      <w:r>
        <w:t xml:space="preserve"> гарантирующих поставщиков, утвержденными приказом ФСТ России от 30.10.2012 № 703-э </w:t>
      </w:r>
      <w:r>
        <w:lastRenderedPageBreak/>
        <w:t>(зарегистрировано в Минюсте России 29.11.2012, регистрационный № 25975), и указанная в отношении i-</w:t>
      </w:r>
      <w:proofErr w:type="spellStart"/>
      <w:r>
        <w:t>ых</w:t>
      </w:r>
      <w:proofErr w:type="spellEnd"/>
      <w:r>
        <w:t xml:space="preserve"> подгрупп группы "прочие потребители" k-</w:t>
      </w:r>
      <w:proofErr w:type="spellStart"/>
      <w:r>
        <w:t>го</w:t>
      </w:r>
      <w:proofErr w:type="spellEnd"/>
      <w:r>
        <w:t xml:space="preserve"> ГП в таблице: </w:t>
      </w:r>
    </w:p>
    <w:p w:rsidR="00E25E10" w:rsidRDefault="00E25E10" w:rsidP="00E25E10"/>
    <w:p w:rsidR="00E25E10" w:rsidRDefault="00E25E10" w:rsidP="00E25E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45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E25E10" w:rsidTr="00E25E10">
        <w:trPr>
          <w:trHeight w:val="28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</w:p>
          <w:p w:rsidR="00E25E10" w:rsidRDefault="00E25E10" w:rsidP="00E25E10"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организации</w:t>
            </w:r>
            <w:r>
              <w:rPr>
                <w:bCs/>
              </w:rPr>
              <w:br/>
              <w:t xml:space="preserve">в субъекте </w:t>
            </w:r>
            <w:r>
              <w:rPr>
                <w:bCs/>
              </w:rPr>
              <w:br/>
              <w:t>Российской Федерации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</w:rPr>
            </w:pPr>
            <w:r>
              <w:rPr>
                <w:bCs/>
              </w:rPr>
              <w:t>Доходность продаж для группы "прочие потребители", (ДП)</w:t>
            </w:r>
            <w:r>
              <w:rPr>
                <w:bCs/>
                <w:vertAlign w:val="superscript"/>
              </w:rPr>
              <w:t>1</w:t>
            </w:r>
          </w:p>
        </w:tc>
      </w:tr>
      <w:tr w:rsidR="00E25E10" w:rsidTr="00E25E10">
        <w:trPr>
          <w:trHeight w:val="17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rPr>
                <w:bCs/>
              </w:rPr>
            </w:pP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подгруппы потребителей с максимальной мощностью </w:t>
            </w:r>
            <w:proofErr w:type="spellStart"/>
            <w:r>
              <w:rPr>
                <w:bCs/>
              </w:rPr>
              <w:t>энергопринимающих</w:t>
            </w:r>
            <w:proofErr w:type="spellEnd"/>
            <w:r>
              <w:rPr>
                <w:bCs/>
              </w:rPr>
              <w:t xml:space="preserve"> устройств</w:t>
            </w:r>
          </w:p>
        </w:tc>
      </w:tr>
      <w:tr w:rsidR="00E25E10" w:rsidTr="00E25E10">
        <w:trPr>
          <w:trHeight w:val="29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rPr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</w:rPr>
            </w:pPr>
            <w:r>
              <w:rPr>
                <w:bCs/>
              </w:rPr>
              <w:t>менее 150 кВт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</w:rPr>
            </w:pPr>
            <w:r>
              <w:rPr>
                <w:bCs/>
              </w:rPr>
              <w:t>от 150 до 670 кВт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 670 кВт до </w:t>
            </w:r>
            <w:r>
              <w:rPr>
                <w:bCs/>
              </w:rPr>
              <w:br/>
              <w:t>10 МВт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</w:rPr>
            </w:pPr>
            <w:r>
              <w:rPr>
                <w:bCs/>
              </w:rPr>
              <w:t>не менее 10 МВт</w:t>
            </w:r>
          </w:p>
        </w:tc>
      </w:tr>
      <w:tr w:rsidR="00E25E10" w:rsidTr="00E25E10">
        <w:trPr>
          <w:trHeight w:val="17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rPr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</w:rPr>
            </w:pPr>
            <w:r>
              <w:rPr>
                <w:bCs/>
              </w:rPr>
              <w:t>проценты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</w:rPr>
            </w:pPr>
            <w:r>
              <w:rPr>
                <w:bCs/>
              </w:rPr>
              <w:t>проценты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</w:rPr>
            </w:pPr>
            <w:r>
              <w:rPr>
                <w:bCs/>
              </w:rPr>
              <w:t>проценты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</w:rPr>
            </w:pPr>
            <w:r>
              <w:rPr>
                <w:bCs/>
              </w:rPr>
              <w:t>проценты</w:t>
            </w:r>
          </w:p>
        </w:tc>
      </w:tr>
      <w:tr w:rsidR="00E25E10" w:rsidTr="00E25E10">
        <w:trPr>
          <w:trHeight w:val="19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rPr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 </w:t>
            </w:r>
            <w:proofErr w:type="gramStart"/>
            <w:r>
              <w:rPr>
                <w:bCs/>
                <w:sz w:val="16"/>
                <w:szCs w:val="16"/>
              </w:rPr>
              <w:t>полу-</w:t>
            </w:r>
            <w:proofErr w:type="spellStart"/>
            <w:r>
              <w:rPr>
                <w:bCs/>
                <w:sz w:val="16"/>
                <w:szCs w:val="16"/>
              </w:rPr>
              <w:t>годие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proofErr w:type="gramStart"/>
            <w:r>
              <w:rPr>
                <w:bCs/>
                <w:sz w:val="16"/>
                <w:szCs w:val="16"/>
              </w:rPr>
              <w:t>полу-</w:t>
            </w:r>
            <w:proofErr w:type="spellStart"/>
            <w:r>
              <w:rPr>
                <w:bCs/>
                <w:sz w:val="16"/>
                <w:szCs w:val="16"/>
              </w:rPr>
              <w:t>годие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 </w:t>
            </w:r>
            <w:proofErr w:type="gramStart"/>
            <w:r>
              <w:rPr>
                <w:bCs/>
                <w:sz w:val="16"/>
                <w:szCs w:val="16"/>
              </w:rPr>
              <w:t>полу-</w:t>
            </w:r>
            <w:proofErr w:type="spellStart"/>
            <w:r>
              <w:rPr>
                <w:bCs/>
                <w:sz w:val="16"/>
                <w:szCs w:val="16"/>
              </w:rPr>
              <w:t>годие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proofErr w:type="gramStart"/>
            <w:r>
              <w:rPr>
                <w:bCs/>
                <w:sz w:val="16"/>
                <w:szCs w:val="16"/>
              </w:rPr>
              <w:t>полу-</w:t>
            </w:r>
            <w:proofErr w:type="spellStart"/>
            <w:r>
              <w:rPr>
                <w:bCs/>
                <w:sz w:val="16"/>
                <w:szCs w:val="16"/>
              </w:rPr>
              <w:t>годие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 </w:t>
            </w:r>
            <w:proofErr w:type="gramStart"/>
            <w:r>
              <w:rPr>
                <w:bCs/>
                <w:sz w:val="16"/>
                <w:szCs w:val="16"/>
              </w:rPr>
              <w:t>полу-</w:t>
            </w:r>
            <w:proofErr w:type="spellStart"/>
            <w:r>
              <w:rPr>
                <w:bCs/>
                <w:sz w:val="16"/>
                <w:szCs w:val="16"/>
              </w:rPr>
              <w:t>годие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proofErr w:type="gramStart"/>
            <w:r>
              <w:rPr>
                <w:bCs/>
                <w:sz w:val="16"/>
                <w:szCs w:val="16"/>
              </w:rPr>
              <w:t>полу-</w:t>
            </w:r>
            <w:proofErr w:type="spellStart"/>
            <w:r>
              <w:rPr>
                <w:bCs/>
                <w:sz w:val="16"/>
                <w:szCs w:val="16"/>
              </w:rPr>
              <w:t>годие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 </w:t>
            </w:r>
            <w:proofErr w:type="gramStart"/>
            <w:r>
              <w:rPr>
                <w:bCs/>
                <w:sz w:val="16"/>
                <w:szCs w:val="16"/>
              </w:rPr>
              <w:t>полу-</w:t>
            </w:r>
            <w:proofErr w:type="spellStart"/>
            <w:r>
              <w:rPr>
                <w:bCs/>
                <w:sz w:val="16"/>
                <w:szCs w:val="16"/>
              </w:rPr>
              <w:t>годие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proofErr w:type="gramStart"/>
            <w:r>
              <w:rPr>
                <w:bCs/>
                <w:sz w:val="16"/>
                <w:szCs w:val="16"/>
              </w:rPr>
              <w:t>полу-</w:t>
            </w:r>
            <w:proofErr w:type="spellStart"/>
            <w:r>
              <w:rPr>
                <w:bCs/>
                <w:sz w:val="16"/>
                <w:szCs w:val="16"/>
              </w:rPr>
              <w:t>годие</w:t>
            </w:r>
            <w:proofErr w:type="spellEnd"/>
            <w:proofErr w:type="gramEnd"/>
          </w:p>
        </w:tc>
      </w:tr>
      <w:tr w:rsidR="00E25E10" w:rsidTr="00E25E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jc w:val="center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jc w:val="center"/>
            </w:pPr>
            <w: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jc w:val="center"/>
            </w:pPr>
            <w: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jc w:val="center"/>
            </w:pPr>
            <w:r>
              <w:t>10</w:t>
            </w:r>
          </w:p>
        </w:tc>
      </w:tr>
      <w:tr w:rsidR="00E25E10" w:rsidTr="00E25E10">
        <w:trPr>
          <w:trHeight w:val="9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</w:pPr>
            <w: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jc w:val="center"/>
              <w:rPr>
                <w:sz w:val="16"/>
                <w:szCs w:val="16"/>
              </w:rPr>
            </w:pPr>
            <w:r>
              <w:t xml:space="preserve">общество с ограниченной ответственностью </w:t>
            </w:r>
            <w:r>
              <w:rPr>
                <w:sz w:val="16"/>
                <w:szCs w:val="16"/>
              </w:rPr>
              <w:t>«РУСЭНЕРГОСБЫТ»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jc w:val="center"/>
            </w:pPr>
            <w:r>
              <w:t>14,47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jc w:val="center"/>
            </w:pPr>
            <w:r>
              <w:t>14,72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jc w:val="center"/>
            </w:pPr>
            <w:r>
              <w:t>13,30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jc w:val="center"/>
            </w:pPr>
            <w:r>
              <w:t>13,53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jc w:val="center"/>
            </w:pPr>
            <w:r>
              <w:t>9,06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jc w:val="center"/>
            </w:pPr>
            <w:r>
              <w:t>9,22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jc w:val="center"/>
            </w:pPr>
            <w:r>
              <w:t>5,26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jc w:val="center"/>
            </w:pPr>
            <w:r>
              <w:t>5,35</w:t>
            </w:r>
          </w:p>
        </w:tc>
      </w:tr>
    </w:tbl>
    <w:p w:rsidR="00E25E10" w:rsidRDefault="00E25E10" w:rsidP="00E25E10">
      <w:pPr>
        <w:rPr>
          <w:sz w:val="20"/>
          <w:szCs w:val="20"/>
        </w:rPr>
      </w:pPr>
    </w:p>
    <w:tbl>
      <w:tblPr>
        <w:tblW w:w="13764" w:type="dxa"/>
        <w:tblInd w:w="108" w:type="dxa"/>
        <w:tblLook w:val="04A0" w:firstRow="1" w:lastRow="0" w:firstColumn="1" w:lastColumn="0" w:noHBand="0" w:noVBand="1"/>
      </w:tblPr>
      <w:tblGrid>
        <w:gridCol w:w="13764"/>
      </w:tblGrid>
      <w:tr w:rsidR="00E25E10" w:rsidTr="00E25E10">
        <w:trPr>
          <w:trHeight w:val="255"/>
        </w:trPr>
        <w:tc>
          <w:tcPr>
            <w:tcW w:w="13764" w:type="dxa"/>
            <w:noWrap/>
            <w:vAlign w:val="bottom"/>
          </w:tcPr>
          <w:p w:rsidR="00E25E10" w:rsidRDefault="00E25E10" w:rsidP="00E25E10">
            <w:pPr>
              <w:rPr>
                <w:rFonts w:ascii="Arial CYR" w:hAnsi="Arial CYR" w:cs="Arial CYR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6BBC9BB" wp14:editId="4D370A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-47625</wp:posOffset>
                  </wp:positionV>
                  <wp:extent cx="304800" cy="238125"/>
                  <wp:effectExtent l="0" t="0" r="0" b="9525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0"/>
            </w:tblGrid>
            <w:tr w:rsidR="00E25E10">
              <w:trPr>
                <w:tblCellSpacing w:w="0" w:type="dxa"/>
              </w:trPr>
              <w:tc>
                <w:tcPr>
                  <w:tcW w:w="10600" w:type="dxa"/>
                  <w:hideMark/>
                </w:tcPr>
                <w:p w:rsidR="00E25E10" w:rsidRDefault="00E25E10" w:rsidP="00E25E10">
                  <w:pPr>
                    <w:ind w:right="927"/>
                    <w:jc w:val="both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_____</w:t>
                  </w:r>
                  <w:r>
                    <w:t>-</w:t>
                  </w:r>
                  <w:r>
                    <w:rPr>
                      <w:color w:val="FFFFFF"/>
                    </w:rPr>
                    <w:t>_</w:t>
                  </w:r>
                  <w:r>
                    <w:t xml:space="preserve">коэффициент параметров деятельности ГП, определяемый в соответствии с Методическими указаниями по расчету сбытовых надбавок гарантирующих поставщиков и размера доходности </w:t>
                  </w:r>
                  <w:proofErr w:type="gramStart"/>
                  <w:r>
                    <w:t>продаж</w:t>
                  </w:r>
                  <w:proofErr w:type="gramEnd"/>
                  <w:r>
                    <w:t xml:space="preserve"> гарантирующих поставщиков, утвержденными приказом ФСТ России от 30.10.2012 № 703-э (зарегистрировано в Минюсте России 29.11.2012, регистрационный № 25975), и указанный в отношении группы "прочие потребители" k-</w:t>
                  </w:r>
                  <w:proofErr w:type="spellStart"/>
                  <w:r>
                    <w:t>го</w:t>
                  </w:r>
                  <w:proofErr w:type="spellEnd"/>
                  <w:r>
                    <w:t xml:space="preserve"> ГП в таблице: </w:t>
                  </w:r>
                </w:p>
              </w:tc>
            </w:tr>
          </w:tbl>
          <w:p w:rsidR="00E25E10" w:rsidRDefault="00E25E10" w:rsidP="00E25E10"/>
        </w:tc>
      </w:tr>
    </w:tbl>
    <w:p w:rsidR="00E25E10" w:rsidRDefault="00E25E10" w:rsidP="00E25E1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524"/>
        <w:gridCol w:w="2207"/>
        <w:gridCol w:w="2307"/>
      </w:tblGrid>
      <w:tr w:rsidR="00E25E10" w:rsidTr="00E25E10">
        <w:trPr>
          <w:trHeight w:val="3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r>
              <w:t xml:space="preserve">№ </w:t>
            </w:r>
          </w:p>
          <w:p w:rsidR="00E25E10" w:rsidRDefault="00E25E10" w:rsidP="00E25E10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организации</w:t>
            </w:r>
            <w:r>
              <w:rPr>
                <w:bCs/>
              </w:rPr>
              <w:br/>
              <w:t xml:space="preserve">в субъекте Российской Федерации 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</w:rPr>
            </w:pPr>
            <w:r>
              <w:rPr>
                <w:bCs/>
              </w:rPr>
              <w:t>Коэффициент параметров деятельности гарантирующего поставщика, (</w:t>
            </w:r>
            <w:proofErr w:type="spellStart"/>
            <w:r>
              <w:rPr>
                <w:bCs/>
              </w:rPr>
              <w:t>К</w:t>
            </w:r>
            <w:r>
              <w:rPr>
                <w:bCs/>
                <w:vertAlign w:val="superscript"/>
              </w:rPr>
              <w:t>рег</w:t>
            </w:r>
            <w:proofErr w:type="spellEnd"/>
            <w:r>
              <w:rPr>
                <w:bCs/>
              </w:rPr>
              <w:t>)</w:t>
            </w:r>
            <w:r>
              <w:rPr>
                <w:bCs/>
                <w:vertAlign w:val="superscript"/>
              </w:rPr>
              <w:t>1</w:t>
            </w:r>
          </w:p>
        </w:tc>
      </w:tr>
      <w:tr w:rsidR="00E25E10" w:rsidTr="00E25E1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</w:rPr>
            </w:pPr>
            <w:r>
              <w:rPr>
                <w:bCs/>
              </w:rPr>
              <w:t>1 полугодие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</w:rPr>
            </w:pPr>
            <w:r>
              <w:rPr>
                <w:bCs/>
              </w:rPr>
              <w:t>2 полугодие</w:t>
            </w:r>
          </w:p>
        </w:tc>
      </w:tr>
      <w:tr w:rsidR="00E25E10" w:rsidTr="00E25E10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25E10" w:rsidTr="00E25E10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</w:pPr>
            <w: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10" w:rsidRDefault="00E25E10" w:rsidP="00E25E10">
            <w:pPr>
              <w:jc w:val="center"/>
            </w:pPr>
            <w:r>
              <w:t>общество с ограниченной ответственностью «РУСЭНЕРГОСБЫТ»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jc w:val="center"/>
            </w:pPr>
            <w:r>
              <w:t>0,90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10" w:rsidRDefault="00E25E10" w:rsidP="00E25E10">
            <w:pPr>
              <w:jc w:val="center"/>
            </w:pPr>
            <w:r>
              <w:t>0,83</w:t>
            </w:r>
          </w:p>
        </w:tc>
      </w:tr>
    </w:tbl>
    <w:p w:rsidR="00E25E10" w:rsidRDefault="00E25E10" w:rsidP="00E25E10">
      <w:pPr>
        <w:rPr>
          <w:sz w:val="20"/>
          <w:szCs w:val="20"/>
        </w:rPr>
      </w:pPr>
    </w:p>
    <w:p w:rsidR="00E25E10" w:rsidRDefault="00E25E10" w:rsidP="00E25E10">
      <w:pPr>
        <w:tabs>
          <w:tab w:val="center" w:pos="4677"/>
          <w:tab w:val="right" w:pos="6120"/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Примечание:</w:t>
      </w:r>
    </w:p>
    <w:p w:rsidR="00E25E10" w:rsidRDefault="00E25E10" w:rsidP="00E25E1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* - распределение потребителей группы «прочие потребители» по подгруппам осуществляется исходя из максимальной мощности </w:t>
      </w:r>
      <w:proofErr w:type="spellStart"/>
      <w:r>
        <w:rPr>
          <w:sz w:val="16"/>
          <w:szCs w:val="16"/>
        </w:rPr>
        <w:t>энергопринимающих</w:t>
      </w:r>
      <w:proofErr w:type="spellEnd"/>
      <w:r>
        <w:rPr>
          <w:sz w:val="16"/>
          <w:szCs w:val="16"/>
        </w:rPr>
        <w:t xml:space="preserve"> устройств, принадлежащих на праве собственности или ином законном основании потребителю и находящихся в </w:t>
      </w:r>
      <w:r>
        <w:rPr>
          <w:sz w:val="16"/>
          <w:szCs w:val="16"/>
        </w:rPr>
        <w:lastRenderedPageBreak/>
        <w:t xml:space="preserve">единых границах балансовой принадлежности при условии обеспечения электрических связей между указанными </w:t>
      </w:r>
      <w:proofErr w:type="spellStart"/>
      <w:r>
        <w:rPr>
          <w:sz w:val="16"/>
          <w:szCs w:val="16"/>
        </w:rPr>
        <w:t>энергопринимающими</w:t>
      </w:r>
      <w:proofErr w:type="spellEnd"/>
      <w:r>
        <w:rPr>
          <w:sz w:val="16"/>
          <w:szCs w:val="16"/>
        </w:rPr>
        <w:t xml:space="preserve"> устройствами потребителя через принадлежащие потребителю объекты электросетевого хозяйства.</w:t>
      </w:r>
    </w:p>
    <w:p w:rsidR="00E25E10" w:rsidRDefault="00E25E10" w:rsidP="00E25E1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** - сбытовые надбавки для группы «прочие потребители» устанавливаются в виде формулы как процент от цены на электрическую энергию и (или) мощность (</w:t>
      </w:r>
      <w:proofErr w:type="spellStart"/>
      <w:r>
        <w:rPr>
          <w:sz w:val="16"/>
          <w:szCs w:val="16"/>
        </w:rPr>
        <w:t>Ц</w:t>
      </w:r>
      <w:proofErr w:type="gramStart"/>
      <w:r>
        <w:rPr>
          <w:sz w:val="16"/>
          <w:szCs w:val="16"/>
          <w:vertAlign w:val="superscript"/>
        </w:rPr>
        <w:t>э</w:t>
      </w:r>
      <w:proofErr w:type="spellEnd"/>
      <w:r>
        <w:rPr>
          <w:sz w:val="16"/>
          <w:szCs w:val="16"/>
          <w:vertAlign w:val="superscript"/>
        </w:rPr>
        <w:t>(</w:t>
      </w:r>
      <w:proofErr w:type="gramEnd"/>
      <w:r>
        <w:rPr>
          <w:sz w:val="16"/>
          <w:szCs w:val="16"/>
          <w:vertAlign w:val="superscript"/>
        </w:rPr>
        <w:t>м)</w:t>
      </w:r>
      <w:r>
        <w:rPr>
          <w:sz w:val="16"/>
          <w:szCs w:val="16"/>
          <w:vertAlign w:val="subscript"/>
          <w:lang w:val="en-US"/>
        </w:rPr>
        <w:t>j</w:t>
      </w:r>
      <w:r>
        <w:rPr>
          <w:sz w:val="16"/>
          <w:szCs w:val="16"/>
        </w:rPr>
        <w:t xml:space="preserve">). Указанный выше процент принимается </w:t>
      </w:r>
      <w:proofErr w:type="gramStart"/>
      <w:r>
        <w:rPr>
          <w:sz w:val="16"/>
          <w:szCs w:val="16"/>
        </w:rPr>
        <w:t>равным</w:t>
      </w:r>
      <w:proofErr w:type="gramEnd"/>
      <w:r>
        <w:rPr>
          <w:sz w:val="16"/>
          <w:szCs w:val="16"/>
        </w:rPr>
        <w:t xml:space="preserve"> произведению доходности продаж подгруппы группы «прочие потребители» и коэффициента, отражающего влияние региональных параметров деятельности Гарантирующего поставщика (ГП) на величину сбытовой надбавки в отношении группы «прочие потребители».</w:t>
      </w:r>
    </w:p>
    <w:p w:rsidR="00E25E10" w:rsidRDefault="00E25E10" w:rsidP="00E25E10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ГП рассчитывает величину сбытовой надбавки по установленной формуле по окончании расчетного периода и включает ее в предельные уровни нерегулируемых цен в порядке, установленном Правилами определения и применения ГП нерегулируемых цен на электрическую энергию (мощность), утвержденными постановлением Правительства Российской Федерации от 29.12.2011 №1179</w:t>
      </w:r>
      <w:proofErr w:type="gramEnd"/>
    </w:p>
    <w:p w:rsidR="00E25E10" w:rsidRDefault="00E25E10" w:rsidP="00E25E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 этом </w:t>
      </w:r>
      <w:proofErr w:type="spellStart"/>
      <w:r>
        <w:rPr>
          <w:sz w:val="16"/>
          <w:szCs w:val="16"/>
        </w:rPr>
        <w:t>Ц</w:t>
      </w:r>
      <w:proofErr w:type="gramStart"/>
      <w:r>
        <w:rPr>
          <w:sz w:val="16"/>
          <w:szCs w:val="16"/>
          <w:vertAlign w:val="superscript"/>
        </w:rPr>
        <w:t>э</w:t>
      </w:r>
      <w:proofErr w:type="spellEnd"/>
      <w:r>
        <w:rPr>
          <w:sz w:val="16"/>
          <w:szCs w:val="16"/>
          <w:vertAlign w:val="superscript"/>
        </w:rPr>
        <w:t>(</w:t>
      </w:r>
      <w:proofErr w:type="gramEnd"/>
      <w:r>
        <w:rPr>
          <w:sz w:val="16"/>
          <w:szCs w:val="16"/>
          <w:vertAlign w:val="superscript"/>
        </w:rPr>
        <w:t>м)</w:t>
      </w:r>
      <w:r>
        <w:rPr>
          <w:sz w:val="16"/>
          <w:szCs w:val="16"/>
          <w:vertAlign w:val="subscript"/>
          <w:lang w:val="en-US"/>
        </w:rPr>
        <w:t>j</w:t>
      </w:r>
      <w:r>
        <w:rPr>
          <w:sz w:val="16"/>
          <w:szCs w:val="16"/>
        </w:rPr>
        <w:t>:</w:t>
      </w:r>
    </w:p>
    <w:p w:rsidR="00E25E10" w:rsidRDefault="00E25E10" w:rsidP="00E25E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а) для первой ценовой категории - средневзвешенная нерегулируемая цена на электрическую энергию (мощность);</w:t>
      </w:r>
    </w:p>
    <w:p w:rsidR="00E25E10" w:rsidRDefault="00E25E10" w:rsidP="00E25E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б) для второй ценовой категории - дифференцированная по зонам суток расчетного периода средневзвешенная нерегулируемая цена на электрическую энергию (мощность) на оптовом рынке;</w:t>
      </w:r>
    </w:p>
    <w:p w:rsidR="00E25E10" w:rsidRDefault="00E25E10" w:rsidP="00E25E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в) для третьей и четвертой ценовых категорий:</w:t>
      </w:r>
    </w:p>
    <w:p w:rsidR="00E25E10" w:rsidRDefault="00E25E10" w:rsidP="00E25E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системы;</w:t>
      </w:r>
    </w:p>
    <w:p w:rsidR="00E25E10" w:rsidRDefault="00E25E10" w:rsidP="00E25E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средневзвешенная нерегулируемая цена на мощность на оптовом рынке;</w:t>
      </w:r>
    </w:p>
    <w:p w:rsidR="00E25E10" w:rsidRDefault="00E25E10" w:rsidP="00E25E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г) для пятой и шестой ценовых категорий:</w:t>
      </w:r>
    </w:p>
    <w:p w:rsidR="00E25E10" w:rsidRDefault="00E25E10" w:rsidP="00E25E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ценовых заявок на сутки вперед;</w:t>
      </w:r>
    </w:p>
    <w:p w:rsidR="00E25E10" w:rsidRDefault="00E25E10" w:rsidP="00E25E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фактического потребления </w:t>
      </w:r>
      <w:proofErr w:type="gramStart"/>
      <w:r>
        <w:rPr>
          <w:sz w:val="16"/>
          <w:szCs w:val="16"/>
        </w:rPr>
        <w:t>над</w:t>
      </w:r>
      <w:proofErr w:type="gramEnd"/>
      <w:r>
        <w:rPr>
          <w:sz w:val="16"/>
          <w:szCs w:val="16"/>
        </w:rPr>
        <w:t xml:space="preserve"> плановым;</w:t>
      </w:r>
    </w:p>
    <w:p w:rsidR="00E25E10" w:rsidRDefault="00E25E10" w:rsidP="00E25E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планового потребления </w:t>
      </w:r>
      <w:proofErr w:type="gramStart"/>
      <w:r>
        <w:rPr>
          <w:sz w:val="16"/>
          <w:szCs w:val="16"/>
        </w:rPr>
        <w:t>над</w:t>
      </w:r>
      <w:proofErr w:type="gramEnd"/>
      <w:r>
        <w:rPr>
          <w:sz w:val="16"/>
          <w:szCs w:val="16"/>
        </w:rPr>
        <w:t xml:space="preserve"> фактическим;</w:t>
      </w:r>
    </w:p>
    <w:p w:rsidR="00E25E10" w:rsidRDefault="00E25E10" w:rsidP="00E25E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вперед;</w:t>
      </w:r>
    </w:p>
    <w:p w:rsidR="00E25E10" w:rsidRDefault="00E25E10" w:rsidP="00E25E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системы;</w:t>
      </w:r>
    </w:p>
    <w:p w:rsidR="00E25E10" w:rsidRDefault="00E25E10" w:rsidP="00E25E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средневзвешенная нерегулируемая цена на мощность на оптовом рынке.</w:t>
      </w:r>
    </w:p>
    <w:p w:rsidR="00E25E10" w:rsidRDefault="00E25E10" w:rsidP="00E25E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25E10" w:rsidRDefault="00E25E10" w:rsidP="00E25E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___1_Данные значения указываются в формуле.</w:t>
      </w:r>
    </w:p>
    <w:p w:rsidR="00C57216" w:rsidRDefault="00C57216"/>
    <w:sectPr w:rsidR="00C5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496F"/>
    <w:multiLevelType w:val="multilevel"/>
    <w:tmpl w:val="C45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20A5A"/>
    <w:multiLevelType w:val="multilevel"/>
    <w:tmpl w:val="8D94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16"/>
    <w:rsid w:val="00C57216"/>
    <w:rsid w:val="00E2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357">
          <w:marLeft w:val="0"/>
          <w:marRight w:val="0"/>
          <w:marTop w:val="0"/>
          <w:marBottom w:val="0"/>
          <w:divBdr>
            <w:top w:val="single" w:sz="12" w:space="0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FDFDF"/>
                    <w:bottom w:val="single" w:sz="6" w:space="0" w:color="DFDFDF"/>
                    <w:right w:val="single" w:sz="6" w:space="0" w:color="DFDFDF"/>
                  </w:divBdr>
                  <w:divsChild>
                    <w:div w:id="19426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kirov.ru/component/mailto/?tmpl=component&amp;template=rstkirov_default&amp;link=53ed968a95788ee4d663613c2b78bf88db1e6d9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tkirov.ru/resheniya/resheniya-za-2015-god/6662-reshenie-51-3-ee-2016-ot-29-12-2015-o-sbytovyh-nadbavkah-garantiruyucshego-postavcshika-ooo-rusenergosbyt?tmpl=component&amp;print=1&amp;page=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2</cp:revision>
  <dcterms:created xsi:type="dcterms:W3CDTF">2016-01-11T12:30:00Z</dcterms:created>
  <dcterms:modified xsi:type="dcterms:W3CDTF">2016-01-11T12:30:00Z</dcterms:modified>
</cp:coreProperties>
</file>