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A8" w:rsidRDefault="00FB53A8">
      <w:pPr>
        <w:widowControl w:val="0"/>
        <w:autoSpaceDE w:val="0"/>
        <w:autoSpaceDN w:val="0"/>
        <w:adjustRightInd w:val="0"/>
        <w:jc w:val="both"/>
        <w:outlineLvl w:val="0"/>
      </w:pPr>
    </w:p>
    <w:p w:rsidR="00FB53A8" w:rsidRDefault="00FB53A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ГЛАВНОЕ УПРАВЛЕНИЕ "РЕГИОНАЛЬНАЯ ЭНЕРГЕТИЧЕСКАЯ КОМИССИЯ"</w:t>
      </w:r>
    </w:p>
    <w:p w:rsidR="00FB53A8" w:rsidRDefault="00FB53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ТВЕРСКОЙ ОБЛАСТИ</w:t>
      </w:r>
    </w:p>
    <w:p w:rsidR="00FB53A8" w:rsidRDefault="00FB53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B53A8" w:rsidRDefault="00FB53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FB53A8" w:rsidRDefault="00FB53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14 июня 2013 г. N 185-нп</w:t>
      </w:r>
    </w:p>
    <w:p w:rsidR="00FB53A8" w:rsidRDefault="00FB53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B53A8" w:rsidRDefault="00FB53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ИЗМЕНЕНИЙ В ПРИКАЗ ГУ РЭК ТВЕРСКОЙ ОБЛАСТИ</w:t>
      </w:r>
    </w:p>
    <w:p w:rsidR="00FB53A8" w:rsidRDefault="00FB53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27.12.2012 N 937-НП</w:t>
      </w:r>
    </w:p>
    <w:p w:rsidR="00FB53A8" w:rsidRDefault="00FB53A8">
      <w:pPr>
        <w:widowControl w:val="0"/>
        <w:autoSpaceDE w:val="0"/>
        <w:autoSpaceDN w:val="0"/>
        <w:adjustRightInd w:val="0"/>
        <w:jc w:val="both"/>
      </w:pPr>
    </w:p>
    <w:p w:rsidR="00FB53A8" w:rsidRDefault="00FB53A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6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09.10.2012 N 230-э/3 "О предельных уровнях тарифов на электрическую энергию, поставляемую населению и приравненным к нему категориям потребителей, на 2013 год", письмом Федеральной службы по</w:t>
      </w:r>
      <w:proofErr w:type="gramEnd"/>
      <w:r>
        <w:t xml:space="preserve"> тарифам от 04.06.2013 N 4-3504,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20.10.2011 N 141-пп "Об утверждении Положения о Главном управлении "Региональная энергетическая комиссия" Тверской области", решением Правления Главного управления "Региональная энергетическая комиссия" Тверской области от 14.06.2013 приказываю:</w:t>
      </w:r>
    </w:p>
    <w:p w:rsidR="00FB53A8" w:rsidRDefault="00FB53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Приказ</w:t>
        </w:r>
      </w:hyperlink>
      <w:r>
        <w:t xml:space="preserve"> Главного управления "Региональная энергетическая комиссия" Тверской области от 27.12.2012 N 937-нп "О тарифах на электрическую энергию для населения и приравненным к нему категориям потребителей по Тверской области на 2013 год" изменения, изложив </w:t>
      </w:r>
      <w:hyperlink r:id="rId9" w:history="1">
        <w:r>
          <w:rPr>
            <w:color w:val="0000FF"/>
          </w:rPr>
          <w:t>приложения</w:t>
        </w:r>
      </w:hyperlink>
      <w:r>
        <w:t xml:space="preserve"> к Приказу в новой </w:t>
      </w:r>
      <w:hyperlink w:anchor="Par21" w:history="1">
        <w:r>
          <w:rPr>
            <w:color w:val="0000FF"/>
          </w:rPr>
          <w:t>редакции</w:t>
        </w:r>
      </w:hyperlink>
      <w:r>
        <w:t xml:space="preserve"> (прилагается).</w:t>
      </w:r>
    </w:p>
    <w:p w:rsidR="00FB53A8" w:rsidRDefault="00FB53A8">
      <w:pPr>
        <w:widowControl w:val="0"/>
        <w:autoSpaceDE w:val="0"/>
        <w:autoSpaceDN w:val="0"/>
        <w:adjustRightInd w:val="0"/>
        <w:ind w:firstLine="540"/>
        <w:jc w:val="both"/>
      </w:pPr>
      <w:r>
        <w:t>2. Настоящий Приказ подлежит официальному опубликованию.</w:t>
      </w:r>
    </w:p>
    <w:p w:rsidR="00FB53A8" w:rsidRDefault="00FB53A8">
      <w:pPr>
        <w:widowControl w:val="0"/>
        <w:autoSpaceDE w:val="0"/>
        <w:autoSpaceDN w:val="0"/>
        <w:adjustRightInd w:val="0"/>
        <w:jc w:val="both"/>
      </w:pPr>
    </w:p>
    <w:p w:rsidR="00FB53A8" w:rsidRDefault="00FB53A8">
      <w:pPr>
        <w:widowControl w:val="0"/>
        <w:autoSpaceDE w:val="0"/>
        <w:autoSpaceDN w:val="0"/>
        <w:adjustRightInd w:val="0"/>
        <w:jc w:val="right"/>
      </w:pPr>
      <w:r>
        <w:t>Начальник ГУ РЭК Тверской области</w:t>
      </w:r>
    </w:p>
    <w:p w:rsidR="00FB53A8" w:rsidRDefault="00FB53A8">
      <w:pPr>
        <w:widowControl w:val="0"/>
        <w:autoSpaceDE w:val="0"/>
        <w:autoSpaceDN w:val="0"/>
        <w:adjustRightInd w:val="0"/>
        <w:jc w:val="right"/>
      </w:pPr>
      <w:r>
        <w:t>С.Н.ТЮРИН</w:t>
      </w:r>
    </w:p>
    <w:p w:rsidR="00FB53A8" w:rsidRDefault="00FB53A8">
      <w:pPr>
        <w:widowControl w:val="0"/>
        <w:autoSpaceDE w:val="0"/>
        <w:autoSpaceDN w:val="0"/>
        <w:adjustRightInd w:val="0"/>
        <w:jc w:val="both"/>
      </w:pPr>
    </w:p>
    <w:p w:rsidR="00FB53A8" w:rsidRDefault="00FB53A8">
      <w:pPr>
        <w:widowControl w:val="0"/>
        <w:autoSpaceDE w:val="0"/>
        <w:autoSpaceDN w:val="0"/>
        <w:adjustRightInd w:val="0"/>
        <w:jc w:val="both"/>
      </w:pPr>
    </w:p>
    <w:p w:rsidR="00FB53A8" w:rsidRDefault="00FB53A8">
      <w:pPr>
        <w:widowControl w:val="0"/>
        <w:autoSpaceDE w:val="0"/>
        <w:autoSpaceDN w:val="0"/>
        <w:adjustRightInd w:val="0"/>
        <w:jc w:val="both"/>
      </w:pPr>
    </w:p>
    <w:p w:rsidR="00FB53A8" w:rsidRDefault="00FB53A8">
      <w:pPr>
        <w:widowControl w:val="0"/>
        <w:autoSpaceDE w:val="0"/>
        <w:autoSpaceDN w:val="0"/>
        <w:adjustRightInd w:val="0"/>
        <w:jc w:val="both"/>
      </w:pPr>
    </w:p>
    <w:p w:rsidR="00FB53A8" w:rsidRDefault="00FB53A8">
      <w:pPr>
        <w:widowControl w:val="0"/>
        <w:autoSpaceDE w:val="0"/>
        <w:autoSpaceDN w:val="0"/>
        <w:adjustRightInd w:val="0"/>
        <w:jc w:val="both"/>
      </w:pPr>
    </w:p>
    <w:p w:rsidR="00FB53A8" w:rsidRDefault="00FB53A8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1"/>
      <w:bookmarkEnd w:id="0"/>
      <w:r>
        <w:t>Приложение</w:t>
      </w:r>
    </w:p>
    <w:p w:rsidR="00FB53A8" w:rsidRDefault="00FB53A8">
      <w:pPr>
        <w:widowControl w:val="0"/>
        <w:autoSpaceDE w:val="0"/>
        <w:autoSpaceDN w:val="0"/>
        <w:adjustRightInd w:val="0"/>
        <w:jc w:val="right"/>
      </w:pPr>
      <w:r>
        <w:t>к Приказу ГУ РЭК Тверской области</w:t>
      </w:r>
    </w:p>
    <w:p w:rsidR="00FB53A8" w:rsidRDefault="00FB53A8">
      <w:pPr>
        <w:widowControl w:val="0"/>
        <w:autoSpaceDE w:val="0"/>
        <w:autoSpaceDN w:val="0"/>
        <w:adjustRightInd w:val="0"/>
        <w:jc w:val="right"/>
      </w:pPr>
      <w:r>
        <w:t>от 14 июня 2013 г. N 185-нп</w:t>
      </w:r>
    </w:p>
    <w:p w:rsidR="00FB53A8" w:rsidRDefault="00FB53A8">
      <w:pPr>
        <w:widowControl w:val="0"/>
        <w:autoSpaceDE w:val="0"/>
        <w:autoSpaceDN w:val="0"/>
        <w:adjustRightInd w:val="0"/>
        <w:jc w:val="both"/>
      </w:pPr>
    </w:p>
    <w:p w:rsidR="00FB53A8" w:rsidRDefault="00FB53A8">
      <w:pPr>
        <w:widowControl w:val="0"/>
        <w:autoSpaceDE w:val="0"/>
        <w:autoSpaceDN w:val="0"/>
        <w:adjustRightInd w:val="0"/>
        <w:jc w:val="right"/>
        <w:outlineLvl w:val="1"/>
      </w:pPr>
      <w:r>
        <w:t>"Приложение 1</w:t>
      </w:r>
    </w:p>
    <w:p w:rsidR="00FB53A8" w:rsidRDefault="00FB53A8">
      <w:pPr>
        <w:widowControl w:val="0"/>
        <w:autoSpaceDE w:val="0"/>
        <w:autoSpaceDN w:val="0"/>
        <w:adjustRightInd w:val="0"/>
        <w:jc w:val="right"/>
      </w:pPr>
      <w:r>
        <w:t>к Приказу ГУ РЭК Тверской области</w:t>
      </w:r>
    </w:p>
    <w:p w:rsidR="00FB53A8" w:rsidRDefault="00FB53A8">
      <w:pPr>
        <w:widowControl w:val="0"/>
        <w:autoSpaceDE w:val="0"/>
        <w:autoSpaceDN w:val="0"/>
        <w:adjustRightInd w:val="0"/>
        <w:jc w:val="right"/>
      </w:pPr>
      <w:r>
        <w:t>от 27 декабря 2012 г. N 937-нп</w:t>
      </w:r>
    </w:p>
    <w:p w:rsidR="00FB53A8" w:rsidRDefault="00FB53A8">
      <w:pPr>
        <w:widowControl w:val="0"/>
        <w:autoSpaceDE w:val="0"/>
        <w:autoSpaceDN w:val="0"/>
        <w:adjustRightInd w:val="0"/>
        <w:jc w:val="both"/>
      </w:pPr>
    </w:p>
    <w:p w:rsidR="00FB53A8" w:rsidRDefault="00FB53A8">
      <w:pPr>
        <w:widowControl w:val="0"/>
        <w:autoSpaceDE w:val="0"/>
        <w:autoSpaceDN w:val="0"/>
        <w:adjustRightInd w:val="0"/>
        <w:jc w:val="center"/>
      </w:pPr>
      <w:r>
        <w:t>Тарифы на электрическую энергию для населения</w:t>
      </w:r>
    </w:p>
    <w:p w:rsidR="00FB53A8" w:rsidRDefault="00FB53A8">
      <w:pPr>
        <w:widowControl w:val="0"/>
        <w:autoSpaceDE w:val="0"/>
        <w:autoSpaceDN w:val="0"/>
        <w:adjustRightInd w:val="0"/>
        <w:jc w:val="center"/>
      </w:pPr>
      <w:r>
        <w:t xml:space="preserve">и </w:t>
      </w:r>
      <w:proofErr w:type="gramStart"/>
      <w:r>
        <w:t>приравненным</w:t>
      </w:r>
      <w:proofErr w:type="gramEnd"/>
      <w:r>
        <w:t xml:space="preserve"> к нему категорий потребителей по Тверской</w:t>
      </w:r>
    </w:p>
    <w:p w:rsidR="00FB53A8" w:rsidRDefault="00FB53A8">
      <w:pPr>
        <w:widowControl w:val="0"/>
        <w:autoSpaceDE w:val="0"/>
        <w:autoSpaceDN w:val="0"/>
        <w:adjustRightInd w:val="0"/>
        <w:jc w:val="center"/>
      </w:pPr>
      <w:r>
        <w:t>области с 1 января по 30 июня 2013 года</w:t>
      </w:r>
    </w:p>
    <w:p w:rsidR="00FB53A8" w:rsidRDefault="00FB53A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4"/>
        <w:gridCol w:w="5166"/>
        <w:gridCol w:w="1845"/>
        <w:gridCol w:w="1599"/>
      </w:tblGrid>
      <w:tr w:rsidR="00FB53A8">
        <w:trPr>
          <w:trHeight w:val="600"/>
          <w:tblCellSpacing w:w="5" w:type="nil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(группы потребителей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разбивкой по ставкам и дифференциацией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по зонам суток)       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измерения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(тариф)  </w:t>
            </w:r>
          </w:p>
        </w:tc>
      </w:tr>
      <w:tr w:rsidR="00FB53A8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2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FB53A8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8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указываются с учетом НДС)                       </w:t>
            </w:r>
          </w:p>
        </w:tc>
      </w:tr>
      <w:tr w:rsidR="00FB53A8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8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hyperlink w:anchor="Par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</w:p>
        </w:tc>
      </w:tr>
      <w:tr w:rsidR="00FB53A8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3,03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8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3,04    </w:t>
            </w:r>
          </w:p>
        </w:tc>
      </w:tr>
      <w:tr w:rsidR="00FB53A8"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2,11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8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3,68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3,03    </w:t>
            </w:r>
          </w:p>
        </w:tc>
      </w:tr>
      <w:tr w:rsidR="00FB53A8"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2,11    </w:t>
            </w:r>
          </w:p>
        </w:tc>
      </w:tr>
      <w:tr w:rsidR="00FB53A8">
        <w:trPr>
          <w:trHeight w:val="600"/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8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60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>Население, проживающее в городских  населенных  пунктах  в  домах,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оборудованных в установленном порядке стационарными электроплитами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(или) электроотопительными установками                          </w:t>
            </w:r>
          </w:p>
        </w:tc>
      </w:tr>
      <w:tr w:rsidR="00FB53A8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1.2.1.</w:t>
            </w: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2,12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1.2.2.</w:t>
            </w:r>
          </w:p>
        </w:tc>
        <w:tc>
          <w:tcPr>
            <w:tcW w:w="8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2,13    </w:t>
            </w:r>
          </w:p>
        </w:tc>
      </w:tr>
      <w:tr w:rsidR="00FB53A8"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1,48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1.2.3.</w:t>
            </w:r>
          </w:p>
        </w:tc>
        <w:tc>
          <w:tcPr>
            <w:tcW w:w="8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2,58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2,12    </w:t>
            </w:r>
          </w:p>
        </w:tc>
      </w:tr>
      <w:tr w:rsidR="00FB53A8"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1,48    </w:t>
            </w:r>
          </w:p>
        </w:tc>
      </w:tr>
      <w:tr w:rsidR="00FB53A8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 </w:t>
            </w:r>
          </w:p>
        </w:tc>
        <w:tc>
          <w:tcPr>
            <w:tcW w:w="8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0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сельских населенных пунктах              </w:t>
            </w:r>
          </w:p>
        </w:tc>
      </w:tr>
      <w:tr w:rsidR="00FB53A8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1.3.1.</w:t>
            </w: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2,12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1.3.2.</w:t>
            </w:r>
          </w:p>
        </w:tc>
        <w:tc>
          <w:tcPr>
            <w:tcW w:w="8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2,13    </w:t>
            </w:r>
          </w:p>
        </w:tc>
      </w:tr>
      <w:tr w:rsidR="00FB53A8"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1,48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1.3.3.</w:t>
            </w:r>
          </w:p>
        </w:tc>
        <w:tc>
          <w:tcPr>
            <w:tcW w:w="8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2,58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2,12    </w:t>
            </w:r>
          </w:p>
        </w:tc>
      </w:tr>
      <w:tr w:rsidR="00FB53A8"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1,48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8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Потребители, приравненные к населению (тарифы указываются 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НДС) </w:t>
            </w:r>
            <w:hyperlink w:anchor="Par1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FB53A8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</w:t>
            </w: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3,03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 </w:t>
            </w:r>
          </w:p>
        </w:tc>
        <w:tc>
          <w:tcPr>
            <w:tcW w:w="8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3,04    </w:t>
            </w:r>
          </w:p>
        </w:tc>
      </w:tr>
      <w:tr w:rsidR="00FB53A8"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2,11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 </w:t>
            </w:r>
          </w:p>
        </w:tc>
        <w:tc>
          <w:tcPr>
            <w:tcW w:w="8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3,68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3,03    </w:t>
            </w:r>
          </w:p>
        </w:tc>
      </w:tr>
      <w:tr w:rsidR="00FB53A8"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2,11    </w:t>
            </w:r>
          </w:p>
        </w:tc>
      </w:tr>
    </w:tbl>
    <w:p w:rsidR="00FB53A8" w:rsidRDefault="00FB53A8">
      <w:pPr>
        <w:widowControl w:val="0"/>
        <w:autoSpaceDE w:val="0"/>
        <w:autoSpaceDN w:val="0"/>
        <w:adjustRightInd w:val="0"/>
        <w:jc w:val="both"/>
      </w:pPr>
    </w:p>
    <w:p w:rsidR="00FB53A8" w:rsidRDefault="00FB53A8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B53A8" w:rsidRDefault="00FB53A8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19"/>
      <w:bookmarkEnd w:id="3"/>
      <w:r>
        <w:t>&lt;*&gt;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(тарифам):</w:t>
      </w:r>
    </w:p>
    <w:p w:rsidR="00FB53A8" w:rsidRDefault="00FB53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t>наймодатели</w:t>
      </w:r>
      <w:proofErr w:type="spellEnd"/>
      <w: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</w:t>
      </w:r>
      <w:r>
        <w:lastRenderedPageBreak/>
        <w:t>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деятельности.</w:t>
      </w:r>
    </w:p>
    <w:p w:rsidR="00FB53A8" w:rsidRDefault="00FB53A8">
      <w:pPr>
        <w:widowControl w:val="0"/>
        <w:autoSpaceDE w:val="0"/>
        <w:autoSpaceDN w:val="0"/>
        <w:adjustRightInd w:val="0"/>
        <w:ind w:firstLine="540"/>
        <w:jc w:val="both"/>
      </w:pPr>
      <w:r>
        <w:t>2.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</w:r>
    </w:p>
    <w:p w:rsidR="00FB53A8" w:rsidRDefault="00FB53A8">
      <w:pPr>
        <w:widowControl w:val="0"/>
        <w:autoSpaceDE w:val="0"/>
        <w:autoSpaceDN w:val="0"/>
        <w:adjustRightInd w:val="0"/>
        <w:ind w:firstLine="540"/>
        <w:jc w:val="both"/>
      </w:pPr>
      <w:r>
        <w:t>3. Юридические лица в части приобретаемого объема электрической энергии (мощности) в целях потребления осужденными в помещениях для их содержания при условии наличия раздельного учета для указанных помещений.</w:t>
      </w:r>
    </w:p>
    <w:p w:rsidR="00FB53A8" w:rsidRDefault="00FB53A8">
      <w:pPr>
        <w:widowControl w:val="0"/>
        <w:autoSpaceDE w:val="0"/>
        <w:autoSpaceDN w:val="0"/>
        <w:adjustRightInd w:val="0"/>
        <w:ind w:firstLine="540"/>
        <w:jc w:val="both"/>
      </w:pPr>
      <w:r>
        <w:t>4. Юридические и физические лица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счетчику.</w:t>
      </w:r>
    </w:p>
    <w:p w:rsidR="00FB53A8" w:rsidRDefault="00FB53A8">
      <w:pPr>
        <w:widowControl w:val="0"/>
        <w:autoSpaceDE w:val="0"/>
        <w:autoSpaceDN w:val="0"/>
        <w:adjustRightInd w:val="0"/>
        <w:ind w:firstLine="540"/>
        <w:jc w:val="both"/>
      </w:pPr>
      <w:r>
        <w:t>5. Содержащиеся за счет прихожан религиозные организации.</w:t>
      </w:r>
    </w:p>
    <w:p w:rsidR="00FB53A8" w:rsidRDefault="00FB53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 xml:space="preserve">Гарантирующие поставщики, </w:t>
      </w:r>
      <w:proofErr w:type="spellStart"/>
      <w:r>
        <w:t>энергосбытовые</w:t>
      </w:r>
      <w:proofErr w:type="spellEnd"/>
      <w:r>
        <w:t xml:space="preserve">, </w:t>
      </w:r>
      <w:proofErr w:type="spellStart"/>
      <w:r>
        <w:t>энергоснабжающие</w:t>
      </w:r>
      <w:proofErr w:type="spellEnd"/>
      <w: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деятельности.</w:t>
      </w:r>
      <w:proofErr w:type="gramEnd"/>
    </w:p>
    <w:p w:rsidR="00FB53A8" w:rsidRDefault="00FB53A8">
      <w:pPr>
        <w:widowControl w:val="0"/>
        <w:autoSpaceDE w:val="0"/>
        <w:autoSpaceDN w:val="0"/>
        <w:adjustRightInd w:val="0"/>
        <w:ind w:firstLine="540"/>
        <w:jc w:val="both"/>
      </w:pPr>
      <w:r>
        <w:t>7. Хозяйственные постройки физических лиц (погреба, сараи и иные сооружения аналогичного назначения).</w:t>
      </w:r>
    </w:p>
    <w:p w:rsidR="00FB53A8" w:rsidRDefault="00FB53A8">
      <w:pPr>
        <w:widowControl w:val="0"/>
        <w:autoSpaceDE w:val="0"/>
        <w:autoSpaceDN w:val="0"/>
        <w:adjustRightInd w:val="0"/>
        <w:ind w:firstLine="540"/>
        <w:jc w:val="both"/>
      </w:pPr>
      <w:r>
        <w:t>8.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FB53A8" w:rsidRDefault="00FB53A8">
      <w:pPr>
        <w:widowControl w:val="0"/>
        <w:autoSpaceDE w:val="0"/>
        <w:autoSpaceDN w:val="0"/>
        <w:adjustRightInd w:val="0"/>
        <w:jc w:val="both"/>
      </w:pPr>
    </w:p>
    <w:p w:rsidR="00FB53A8" w:rsidRDefault="00FB53A8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Примечание.</w:t>
      </w:r>
    </w:p>
    <w:p w:rsidR="00FB53A8" w:rsidRDefault="00FB53A8">
      <w:pPr>
        <w:widowControl w:val="0"/>
        <w:autoSpaceDE w:val="0"/>
        <w:autoSpaceDN w:val="0"/>
        <w:adjustRightInd w:val="0"/>
        <w:ind w:firstLine="540"/>
        <w:jc w:val="both"/>
      </w:pPr>
      <w:r>
        <w:t>Оплата электрической энергии лицами, имеющими право на льготы, производится в порядке, установленном в соответствии с действующим законодательством.</w:t>
      </w:r>
    </w:p>
    <w:p w:rsidR="00FB53A8" w:rsidRDefault="00FB53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населения, проживающего в городских населенных пунктах в домах, оборудованных в установленном порядке стационарными электроплитами для </w:t>
      </w:r>
      <w:proofErr w:type="spellStart"/>
      <w:r>
        <w:t>пищеприготовления</w:t>
      </w:r>
      <w:proofErr w:type="spellEnd"/>
      <w:r>
        <w:t xml:space="preserve"> и (или) электроотопительными установками, к тарифам на электрическую энергию применяется понижающих коэффициент 0,7.</w:t>
      </w:r>
    </w:p>
    <w:p w:rsidR="00FB53A8" w:rsidRDefault="00FB53A8">
      <w:pPr>
        <w:widowControl w:val="0"/>
        <w:autoSpaceDE w:val="0"/>
        <w:autoSpaceDN w:val="0"/>
        <w:adjustRightInd w:val="0"/>
        <w:jc w:val="both"/>
      </w:pPr>
    </w:p>
    <w:p w:rsidR="00FB53A8" w:rsidRDefault="00FB53A8">
      <w:pPr>
        <w:widowControl w:val="0"/>
        <w:autoSpaceDE w:val="0"/>
        <w:autoSpaceDN w:val="0"/>
        <w:adjustRightInd w:val="0"/>
        <w:jc w:val="both"/>
      </w:pPr>
    </w:p>
    <w:p w:rsidR="00FB53A8" w:rsidRDefault="00FB53A8">
      <w:pPr>
        <w:widowControl w:val="0"/>
        <w:autoSpaceDE w:val="0"/>
        <w:autoSpaceDN w:val="0"/>
        <w:adjustRightInd w:val="0"/>
        <w:jc w:val="both"/>
      </w:pPr>
    </w:p>
    <w:p w:rsidR="00FB53A8" w:rsidRDefault="00FB53A8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FB53A8" w:rsidRDefault="00FB53A8">
      <w:pPr>
        <w:widowControl w:val="0"/>
        <w:autoSpaceDE w:val="0"/>
        <w:autoSpaceDN w:val="0"/>
        <w:adjustRightInd w:val="0"/>
        <w:jc w:val="right"/>
      </w:pPr>
      <w:r>
        <w:t>к Приказу ГУ РЭК Тверской области</w:t>
      </w:r>
    </w:p>
    <w:p w:rsidR="00FB53A8" w:rsidRDefault="00FB53A8">
      <w:pPr>
        <w:widowControl w:val="0"/>
        <w:autoSpaceDE w:val="0"/>
        <w:autoSpaceDN w:val="0"/>
        <w:adjustRightInd w:val="0"/>
        <w:jc w:val="right"/>
      </w:pPr>
      <w:r>
        <w:t>от 27 декабря 2012 г. N 937-нп</w:t>
      </w:r>
    </w:p>
    <w:p w:rsidR="00FB53A8" w:rsidRDefault="00FB53A8">
      <w:pPr>
        <w:widowControl w:val="0"/>
        <w:autoSpaceDE w:val="0"/>
        <w:autoSpaceDN w:val="0"/>
        <w:adjustRightInd w:val="0"/>
        <w:jc w:val="both"/>
      </w:pPr>
    </w:p>
    <w:p w:rsidR="00FB53A8" w:rsidRDefault="00FB53A8">
      <w:pPr>
        <w:widowControl w:val="0"/>
        <w:autoSpaceDE w:val="0"/>
        <w:autoSpaceDN w:val="0"/>
        <w:adjustRightInd w:val="0"/>
        <w:jc w:val="center"/>
      </w:pPr>
      <w:r>
        <w:t>Тарифы на электрическую энергию для населения</w:t>
      </w:r>
    </w:p>
    <w:p w:rsidR="00FB53A8" w:rsidRDefault="00FB53A8">
      <w:pPr>
        <w:widowControl w:val="0"/>
        <w:autoSpaceDE w:val="0"/>
        <w:autoSpaceDN w:val="0"/>
        <w:adjustRightInd w:val="0"/>
        <w:jc w:val="center"/>
      </w:pPr>
      <w:r>
        <w:t xml:space="preserve">и </w:t>
      </w:r>
      <w:proofErr w:type="gramStart"/>
      <w:r>
        <w:t>приравненным</w:t>
      </w:r>
      <w:proofErr w:type="gramEnd"/>
      <w:r>
        <w:t xml:space="preserve"> к нему категорий потребителей по Тверской</w:t>
      </w:r>
    </w:p>
    <w:p w:rsidR="00FB53A8" w:rsidRDefault="00FB53A8">
      <w:pPr>
        <w:widowControl w:val="0"/>
        <w:autoSpaceDE w:val="0"/>
        <w:autoSpaceDN w:val="0"/>
        <w:adjustRightInd w:val="0"/>
        <w:jc w:val="center"/>
      </w:pPr>
      <w:r>
        <w:t>области с 1 июля по 31 декабря 2013 года</w:t>
      </w:r>
    </w:p>
    <w:p w:rsidR="00FB53A8" w:rsidRDefault="00FB53A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4"/>
        <w:gridCol w:w="5166"/>
        <w:gridCol w:w="1845"/>
        <w:gridCol w:w="1599"/>
      </w:tblGrid>
      <w:tr w:rsidR="00FB53A8">
        <w:trPr>
          <w:trHeight w:val="600"/>
          <w:tblCellSpacing w:w="5" w:type="nil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(группы потребителей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разбивкой по ставкам и дифференциацией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по зонам суток)       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измерения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(тариф)  </w:t>
            </w:r>
          </w:p>
        </w:tc>
      </w:tr>
      <w:tr w:rsidR="00FB53A8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2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FB53A8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8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указываются с учетом НДС)                       </w:t>
            </w:r>
          </w:p>
        </w:tc>
      </w:tr>
      <w:tr w:rsidR="00FB53A8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8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hyperlink w:anchor="Par1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1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</w:p>
        </w:tc>
      </w:tr>
      <w:tr w:rsidR="00FB53A8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3,48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8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3,50    </w:t>
            </w:r>
          </w:p>
        </w:tc>
      </w:tr>
      <w:tr w:rsidR="00FB53A8"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2,45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8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4,22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3,48    </w:t>
            </w:r>
          </w:p>
        </w:tc>
      </w:tr>
      <w:tr w:rsidR="00FB53A8"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2,45    </w:t>
            </w:r>
          </w:p>
        </w:tc>
      </w:tr>
      <w:tr w:rsidR="00FB53A8">
        <w:trPr>
          <w:trHeight w:val="600"/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8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170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>Население, проживающее в городских  населенных  пунктах  в  домах,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оборудованных в установленном порядке стационарными электроплитами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(или) электроотопительными установками                          </w:t>
            </w:r>
          </w:p>
        </w:tc>
      </w:tr>
      <w:tr w:rsidR="00FB53A8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1.2.1.</w:t>
            </w: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2,44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1.2.2.</w:t>
            </w:r>
          </w:p>
        </w:tc>
        <w:tc>
          <w:tcPr>
            <w:tcW w:w="8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2,46    </w:t>
            </w:r>
          </w:p>
        </w:tc>
      </w:tr>
      <w:tr w:rsidR="00FB53A8"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1,72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1.2.3.</w:t>
            </w:r>
          </w:p>
        </w:tc>
        <w:tc>
          <w:tcPr>
            <w:tcW w:w="8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2,95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2,44    </w:t>
            </w:r>
          </w:p>
        </w:tc>
      </w:tr>
      <w:tr w:rsidR="00FB53A8"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1,72    </w:t>
            </w:r>
          </w:p>
        </w:tc>
      </w:tr>
      <w:tr w:rsidR="00FB53A8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 </w:t>
            </w:r>
          </w:p>
        </w:tc>
        <w:tc>
          <w:tcPr>
            <w:tcW w:w="8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190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сельских населенных пунктах              </w:t>
            </w:r>
          </w:p>
        </w:tc>
      </w:tr>
      <w:tr w:rsidR="00FB53A8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1.3.1.</w:t>
            </w: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2,44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1.3.2.</w:t>
            </w:r>
          </w:p>
        </w:tc>
        <w:tc>
          <w:tcPr>
            <w:tcW w:w="8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2,46    </w:t>
            </w:r>
          </w:p>
        </w:tc>
      </w:tr>
      <w:tr w:rsidR="00FB53A8"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1,72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1.3.3.</w:t>
            </w:r>
          </w:p>
        </w:tc>
        <w:tc>
          <w:tcPr>
            <w:tcW w:w="8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2,95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2,44    </w:t>
            </w:r>
          </w:p>
        </w:tc>
      </w:tr>
      <w:tr w:rsidR="00FB53A8"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1,72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8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Потребители, приравненные к населению (тарифы указываются 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НДС) </w:t>
            </w:r>
            <w:hyperlink w:anchor="Par2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FB53A8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</w:t>
            </w: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3,48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 </w:t>
            </w:r>
          </w:p>
        </w:tc>
        <w:tc>
          <w:tcPr>
            <w:tcW w:w="8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3,50    </w:t>
            </w:r>
          </w:p>
        </w:tc>
      </w:tr>
      <w:tr w:rsidR="00FB53A8"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2,45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 </w:t>
            </w:r>
          </w:p>
        </w:tc>
        <w:tc>
          <w:tcPr>
            <w:tcW w:w="8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4,22    </w:t>
            </w:r>
          </w:p>
        </w:tc>
      </w:tr>
      <w:tr w:rsidR="00FB53A8"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3,48    </w:t>
            </w:r>
          </w:p>
        </w:tc>
      </w:tr>
      <w:tr w:rsidR="00FB53A8"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8" w:rsidRDefault="00FB53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2,45    </w:t>
            </w:r>
          </w:p>
        </w:tc>
      </w:tr>
    </w:tbl>
    <w:p w:rsidR="00FB53A8" w:rsidRDefault="00FB53A8">
      <w:pPr>
        <w:widowControl w:val="0"/>
        <w:autoSpaceDE w:val="0"/>
        <w:autoSpaceDN w:val="0"/>
        <w:adjustRightInd w:val="0"/>
        <w:jc w:val="both"/>
      </w:pPr>
    </w:p>
    <w:p w:rsidR="00FB53A8" w:rsidRDefault="00FB53A8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B53A8" w:rsidRDefault="00FB53A8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29"/>
      <w:bookmarkEnd w:id="6"/>
      <w:r>
        <w:lastRenderedPageBreak/>
        <w:t>&lt;*&gt;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(тарифам):</w:t>
      </w:r>
    </w:p>
    <w:p w:rsidR="00FB53A8" w:rsidRDefault="00FB53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t>наймодатели</w:t>
      </w:r>
      <w:proofErr w:type="spellEnd"/>
      <w: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деятельности.</w:t>
      </w:r>
    </w:p>
    <w:p w:rsidR="00FB53A8" w:rsidRDefault="00FB53A8">
      <w:pPr>
        <w:widowControl w:val="0"/>
        <w:autoSpaceDE w:val="0"/>
        <w:autoSpaceDN w:val="0"/>
        <w:adjustRightInd w:val="0"/>
        <w:ind w:firstLine="540"/>
        <w:jc w:val="both"/>
      </w:pPr>
      <w:r>
        <w:t>2.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</w:r>
    </w:p>
    <w:p w:rsidR="00FB53A8" w:rsidRDefault="00FB53A8">
      <w:pPr>
        <w:widowControl w:val="0"/>
        <w:autoSpaceDE w:val="0"/>
        <w:autoSpaceDN w:val="0"/>
        <w:adjustRightInd w:val="0"/>
        <w:ind w:firstLine="540"/>
        <w:jc w:val="both"/>
      </w:pPr>
      <w:r>
        <w:t>3. Юридические лица в части приобретаемого объема электрической энергии (мощности) в целях потребления осужденными в помещениях для их содержания при условии наличия раздельного учета для указанных помещений.</w:t>
      </w:r>
    </w:p>
    <w:p w:rsidR="00FB53A8" w:rsidRDefault="00FB53A8">
      <w:pPr>
        <w:widowControl w:val="0"/>
        <w:autoSpaceDE w:val="0"/>
        <w:autoSpaceDN w:val="0"/>
        <w:adjustRightInd w:val="0"/>
        <w:ind w:firstLine="540"/>
        <w:jc w:val="both"/>
      </w:pPr>
      <w:r>
        <w:t>4. Юридические и физические лица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счетчику.</w:t>
      </w:r>
    </w:p>
    <w:p w:rsidR="00FB53A8" w:rsidRDefault="00FB53A8">
      <w:pPr>
        <w:widowControl w:val="0"/>
        <w:autoSpaceDE w:val="0"/>
        <w:autoSpaceDN w:val="0"/>
        <w:adjustRightInd w:val="0"/>
        <w:ind w:firstLine="540"/>
        <w:jc w:val="both"/>
      </w:pPr>
      <w:r>
        <w:t>5. Содержащиеся за счет прихожан религиозные организации.</w:t>
      </w:r>
    </w:p>
    <w:p w:rsidR="00FB53A8" w:rsidRDefault="00FB53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 xml:space="preserve">Гарантирующие поставщики, </w:t>
      </w:r>
      <w:proofErr w:type="spellStart"/>
      <w:r>
        <w:t>энергосбытовые</w:t>
      </w:r>
      <w:proofErr w:type="spellEnd"/>
      <w:r>
        <w:t xml:space="preserve">, </w:t>
      </w:r>
      <w:proofErr w:type="spellStart"/>
      <w:r>
        <w:t>энергоснабжающие</w:t>
      </w:r>
      <w:proofErr w:type="spellEnd"/>
      <w: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деятельности.</w:t>
      </w:r>
      <w:proofErr w:type="gramEnd"/>
    </w:p>
    <w:p w:rsidR="00FB53A8" w:rsidRDefault="00FB53A8">
      <w:pPr>
        <w:widowControl w:val="0"/>
        <w:autoSpaceDE w:val="0"/>
        <w:autoSpaceDN w:val="0"/>
        <w:adjustRightInd w:val="0"/>
        <w:ind w:firstLine="540"/>
        <w:jc w:val="both"/>
      </w:pPr>
      <w:r>
        <w:t>7. Хозяйственные постройки физических лиц (погреба, сараи и иные сооружения аналогичного назначения).</w:t>
      </w:r>
    </w:p>
    <w:p w:rsidR="00FB53A8" w:rsidRDefault="00FB53A8">
      <w:pPr>
        <w:widowControl w:val="0"/>
        <w:autoSpaceDE w:val="0"/>
        <w:autoSpaceDN w:val="0"/>
        <w:adjustRightInd w:val="0"/>
        <w:ind w:firstLine="540"/>
        <w:jc w:val="both"/>
      </w:pPr>
      <w:r>
        <w:t>8.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FB53A8" w:rsidRDefault="00FB53A8">
      <w:pPr>
        <w:widowControl w:val="0"/>
        <w:autoSpaceDE w:val="0"/>
        <w:autoSpaceDN w:val="0"/>
        <w:adjustRightInd w:val="0"/>
        <w:jc w:val="both"/>
      </w:pPr>
    </w:p>
    <w:p w:rsidR="00FB53A8" w:rsidRDefault="00FB53A8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Примечание.</w:t>
      </w:r>
    </w:p>
    <w:p w:rsidR="00FB53A8" w:rsidRDefault="00FB53A8">
      <w:pPr>
        <w:widowControl w:val="0"/>
        <w:autoSpaceDE w:val="0"/>
        <w:autoSpaceDN w:val="0"/>
        <w:adjustRightInd w:val="0"/>
        <w:ind w:firstLine="540"/>
        <w:jc w:val="both"/>
      </w:pPr>
      <w:r>
        <w:t>Оплата электрической энергии лицами, имеющими право на льготы, производится в порядке, установленном в соответствии с действующим законодательством.</w:t>
      </w:r>
    </w:p>
    <w:p w:rsidR="00FB53A8" w:rsidRDefault="00FB53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населения, проживающего в городских населенных пунктах в домах, оборудованных в установленном порядке стационарными электроплитами для </w:t>
      </w:r>
      <w:proofErr w:type="spellStart"/>
      <w:r>
        <w:t>пищеприготовления</w:t>
      </w:r>
      <w:proofErr w:type="spellEnd"/>
      <w:r>
        <w:t xml:space="preserve"> и (или) электроотопительными установками, к тарифам на электрическую энергию применяется понижающих коэффициент 0,7.".</w:t>
      </w:r>
    </w:p>
    <w:p w:rsidR="00FB53A8" w:rsidRDefault="00FB53A8">
      <w:pPr>
        <w:widowControl w:val="0"/>
        <w:autoSpaceDE w:val="0"/>
        <w:autoSpaceDN w:val="0"/>
        <w:adjustRightInd w:val="0"/>
        <w:jc w:val="both"/>
      </w:pPr>
    </w:p>
    <w:p w:rsidR="00FB53A8" w:rsidRDefault="00FB53A8">
      <w:pPr>
        <w:widowControl w:val="0"/>
        <w:autoSpaceDE w:val="0"/>
        <w:autoSpaceDN w:val="0"/>
        <w:adjustRightInd w:val="0"/>
        <w:jc w:val="both"/>
      </w:pPr>
    </w:p>
    <w:p w:rsidR="00FB53A8" w:rsidRDefault="00FB53A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1775E" w:rsidRDefault="0091775E"/>
    <w:sectPr w:rsidR="0091775E" w:rsidSect="009C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FB53A8"/>
    <w:rsid w:val="001E7972"/>
    <w:rsid w:val="002A5AF0"/>
    <w:rsid w:val="004511EA"/>
    <w:rsid w:val="004812F7"/>
    <w:rsid w:val="004C209F"/>
    <w:rsid w:val="00513424"/>
    <w:rsid w:val="0075596A"/>
    <w:rsid w:val="0091775E"/>
    <w:rsid w:val="00BC02D9"/>
    <w:rsid w:val="00C92F49"/>
    <w:rsid w:val="00D57738"/>
    <w:rsid w:val="00D6037F"/>
    <w:rsid w:val="00EE173D"/>
    <w:rsid w:val="00FB5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B53A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10CBB416AB0FB334CFA4429788D511409A45AE4186B347BF753D425EFB352R7v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D10CBB416AB0FB334CFA4429788D511409A45AE41F6B317AF753D425EFB352R7v8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D10CBB416AB0FB334CE4493F14D75F1301FD53E514676022A8088972E6B9053F2236B54CBCF8ACRBv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6D10CBB416AB0FB334CE4493F14D75F1306FC50E119676022A8088972REv6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6D10CBB416AB0FB334CE4493F14D75F1306FE50E014676022A8088972REv6H" TargetMode="External"/><Relationship Id="rId9" Type="http://schemas.openxmlformats.org/officeDocument/2006/relationships/hyperlink" Target="consultantplus://offline/ref=36D10CBB416AB0FB334CFA4429788D511409A45AE4186B347BF753D425EFB352786D6FF708B1F9AFB25DE8R2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1566</Words>
  <Characters>14065</Characters>
  <Application>Microsoft Office Word</Application>
  <DocSecurity>4</DocSecurity>
  <Lines>117</Lines>
  <Paragraphs>31</Paragraphs>
  <ScaleCrop>false</ScaleCrop>
  <Company>RUSES</Company>
  <LinksUpToDate>false</LinksUpToDate>
  <CharactersWithSpaces>15600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anikitina</cp:lastModifiedBy>
  <cp:revision>2</cp:revision>
  <dcterms:created xsi:type="dcterms:W3CDTF">2013-07-02T08:19:00Z</dcterms:created>
  <dcterms:modified xsi:type="dcterms:W3CDTF">2013-07-02T08:19:00Z</dcterms:modified>
</cp:coreProperties>
</file>