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2013 г. N 13/577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КОСТРОМСКОЙ ОБЛАСТИ НА 2014 ГОД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руководствуясь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</w:t>
      </w:r>
      <w:proofErr w:type="gramEnd"/>
      <w:r>
        <w:rPr>
          <w:rFonts w:ascii="Calibri" w:hAnsi="Calibri" w:cs="Calibri"/>
        </w:rPr>
        <w:t xml:space="preserve"> и тарифов Костромской области постановляет: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Костромской области на 2014 год согласно приложению.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</w:t>
      </w:r>
      <w:proofErr w:type="gramStart"/>
      <w:r>
        <w:rPr>
          <w:rFonts w:ascii="Calibri" w:hAnsi="Calibri" w:cs="Calibri"/>
        </w:rPr>
        <w:t>подлежит официальному опубликованию и вступает</w:t>
      </w:r>
      <w:proofErr w:type="gramEnd"/>
      <w:r>
        <w:rPr>
          <w:rFonts w:ascii="Calibri" w:hAnsi="Calibri" w:cs="Calibri"/>
        </w:rPr>
        <w:t xml:space="preserve"> в силу с 1 января 2014 года.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25"/>
      <w:bookmarkEnd w:id="1"/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8015FA" w:rsidRDefault="008015FA" w:rsidP="0080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13/577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bookmarkStart w:id="2" w:name="Par33"/>
      <w:bookmarkEnd w:id="2"/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электрическую энергию для населения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Костромской области на 2014 год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8"/>
        <w:gridCol w:w="3969"/>
        <w:gridCol w:w="1704"/>
        <w:gridCol w:w="1531"/>
        <w:gridCol w:w="1559"/>
      </w:tblGrid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4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46"/>
            <w:bookmarkEnd w:id="4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80"/>
            <w:bookmarkEnd w:id="5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17"/>
            <w:bookmarkEnd w:id="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8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категории "население"</w:t>
            </w:r>
            <w:hyperlink w:anchor="Par18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(с НДС)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801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A" w:rsidRDefault="008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</w:tbl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_GoBack"/>
      <w:bookmarkEnd w:id="8"/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Примечание: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категории "население" относятся: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если многоквартирный дом газифицирован в соответствии с нормами проектирования, а квартира оборудована в индивидуальном порядке проживающим в ней гражданином электроплитой или иными стационарными электроустановками для приготовления пищи, оплата электрической энергии производится по тарифу, установленному </w:t>
      </w:r>
      <w:hyperlink w:anchor="Par46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пункта не распространяется: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 граждан, которым отказано в выдаче технических условий на установление газовой плиты по причине несоответствия жилого помещения установленным требованиям;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граждан, проживающих в жилых помещениях, оборудованных электрической плитой или иными стационарными электроустановками для приготовления пищи до 01.01.2007.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отношении потребителей, приравненных к категории "население",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в городских населенных пунктах</w:t>
      </w:r>
      <w:proofErr w:type="gramEnd"/>
      <w:r>
        <w:rPr>
          <w:rFonts w:ascii="Calibri" w:hAnsi="Calibri" w:cs="Calibri"/>
        </w:rPr>
        <w:t xml:space="preserve"> в домах, оборудованных в установленном порядке стационарными электроплитами и (или) электроотопительными установками, применяются тарифы, установленные </w:t>
      </w:r>
      <w:hyperlink w:anchor="Par80" w:history="1">
        <w:r>
          <w:rPr>
            <w:rFonts w:ascii="Calibri" w:hAnsi="Calibri" w:cs="Calibri"/>
            <w:color w:val="0000FF"/>
          </w:rPr>
          <w:t>подпунктом 1.2</w:t>
        </w:r>
      </w:hyperlink>
      <w:r>
        <w:rPr>
          <w:rFonts w:ascii="Calibri" w:hAnsi="Calibri" w:cs="Calibri"/>
        </w:rPr>
        <w:t xml:space="preserve"> приложения к настоящему постановлению.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потребителей, приравненных к категории "население", находящимся в сельских населенных пунктах, применяются тарифы, установленные </w:t>
      </w:r>
      <w:hyperlink w:anchor="Par117" w:history="1">
        <w:r>
          <w:rPr>
            <w:rFonts w:ascii="Calibri" w:hAnsi="Calibri" w:cs="Calibri"/>
            <w:color w:val="0000FF"/>
          </w:rPr>
          <w:t>подпунктом 1.3</w:t>
        </w:r>
      </w:hyperlink>
      <w:r>
        <w:rPr>
          <w:rFonts w:ascii="Calibri" w:hAnsi="Calibri" w:cs="Calibri"/>
        </w:rPr>
        <w:t xml:space="preserve"> приложения к настоящему постановлению.</w:t>
      </w: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15FA" w:rsidRDefault="0080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15FA" w:rsidRDefault="008015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8015FA"/>
    <w:sectPr w:rsidR="00DC1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A"/>
    <w:rsid w:val="008015FA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4205DB46768D55FC0771F981C91343D5CC33901CDB401BF94D43927354BDAD696F1EDF72315C14BEE47pAw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4205DB46768D55FC069128E70CD3F39529A3706CCB954E1CB8F64703C418D91D9A8AFB32E14C8p4wAN" TargetMode="External"/><Relationship Id="rId5" Type="http://schemas.openxmlformats.org/officeDocument/2006/relationships/hyperlink" Target="consultantplus://offline/ref=B844205DB46768D55FC069128E70CD3F3952993C05C5B954E1CB8F64703C418D91D9A8AFB32F15C6p4w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2014-02-14T13:48:00Z</dcterms:created>
  <dcterms:modified xsi:type="dcterms:W3CDTF">2014-02-14T13:50:00Z</dcterms:modified>
</cp:coreProperties>
</file>