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6" w:rsidRDefault="00CC1B56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РЕГИОНАЛЬНАЯ ЭНЕРГЕТИЧЕСКАЯ КОМИССИЯ КЕМЕРОВСКОЙ ОБЛАСТИ</w:t>
      </w:r>
    </w:p>
    <w:p w:rsidR="00CC1B56" w:rsidRDefault="00CC1B56">
      <w:pPr>
        <w:pStyle w:val="ConsPlusTitle"/>
        <w:jc w:val="center"/>
        <w:rPr>
          <w:sz w:val="20"/>
          <w:szCs w:val="20"/>
        </w:rPr>
      </w:pPr>
    </w:p>
    <w:p w:rsidR="00CC1B56" w:rsidRDefault="00CC1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CC1B56" w:rsidRDefault="00CC1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ноября 2012 г. N 350</w:t>
      </w:r>
    </w:p>
    <w:p w:rsidR="00CC1B56" w:rsidRDefault="00CC1B56">
      <w:pPr>
        <w:pStyle w:val="ConsPlusTitle"/>
        <w:jc w:val="center"/>
        <w:rPr>
          <w:sz w:val="20"/>
          <w:szCs w:val="20"/>
        </w:rPr>
      </w:pPr>
    </w:p>
    <w:p w:rsidR="00CC1B56" w:rsidRDefault="00CC1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ТАРИФОВ НА ЭЛЕКТРИЧЕСКУЮ ЭНЕРГИЮ</w:t>
      </w:r>
    </w:p>
    <w:p w:rsidR="00CC1B56" w:rsidRDefault="00CC1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НАСЕЛЕНИЯ И ПРИРАВНЕННЫХ К НЕМУ КАТЕГОРИЙ</w:t>
      </w:r>
    </w:p>
    <w:p w:rsidR="00CC1B56" w:rsidRDefault="00CC1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ПОТРЕБИТЕЛЕЙ НА ТЕРРИТОРИИ КЕМЕРОВСКОЙ ОБЛАСТИ</w:t>
      </w:r>
    </w:p>
    <w:p w:rsidR="00CC1B56" w:rsidRDefault="00CC1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2013 ГОД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Основами</w:t>
        </w:r>
      </w:hyperlink>
      <w:r>
        <w:t xml:space="preserve"> ценообразования в области регулируемых цен (тарифов) в электроэнергетике, утвержденными Постановлением Правительства РФ от 29.12.2011 N 1178,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07.12.1998 N 1444 "Об основах ценообразования в отношении электрической энергии, потребляемой населением", </w:t>
      </w:r>
      <w:hyperlink r:id="rId8" w:history="1">
        <w:r>
          <w:rPr>
            <w:color w:val="0000FF"/>
          </w:rPr>
          <w:t>Методическими указаниями</w:t>
        </w:r>
      </w:hyperlink>
      <w: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</w:t>
      </w:r>
      <w:proofErr w:type="gramEnd"/>
      <w:r>
        <w:t xml:space="preserve"> </w:t>
      </w:r>
      <w:proofErr w:type="gramStart"/>
      <w:r>
        <w:t xml:space="preserve">ФСТ России от 06.08.2004 N 20-э/2,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(мощности), утвержденным приказом ФСТ России от 08.04.2005 N 130-э,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ФСТ России от 09.10.2012 N 230-э/3 "О предельных уровнях тарифов на электрическую энергию, поставляемую</w:t>
      </w:r>
      <w:proofErr w:type="gramEnd"/>
      <w:r>
        <w:t xml:space="preserve"> населению и приравненным к нему категориям потребителей, на 2013 год", Региональная энергетическая комиссия Кемеровской области постановляет: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тарифы на электрическую энергию для населения и приравненных к нему категорий потребителей на территории Кемеровской области с календарной разбивкой, согласно </w:t>
      </w:r>
      <w:hyperlink w:anchor="Par32" w:history="1">
        <w:r>
          <w:rPr>
            <w:color w:val="0000FF"/>
          </w:rPr>
          <w:t>приложению 1</w:t>
        </w:r>
      </w:hyperlink>
      <w:r>
        <w:t xml:space="preserve"> и </w:t>
      </w:r>
      <w:hyperlink w:anchor="Par144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Тарифы, установленные в </w:t>
      </w:r>
      <w:hyperlink w:anchor="Par32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ar144" w:history="1">
        <w:r>
          <w:rPr>
            <w:color w:val="0000FF"/>
          </w:rPr>
          <w:t>приложении 2</w:t>
        </w:r>
      </w:hyperlink>
      <w:r>
        <w:t xml:space="preserve"> настоящего постановления, вступают в силу и действуют в сроки, указанные в данных приложениях.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Признать утратившим силу с 01.01.2013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Кемеровской области от 06.11.2011 N 230 "Об установлении тарифов на электрическую энергию для населения и приравненных к нему категорий потребителей на территории Кемеровской области на 2012 год".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>4. Настоящее постановление вступает в силу через десять дней после его официального опубликования.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</w:p>
    <w:p w:rsidR="00CC1B56" w:rsidRDefault="00CC1B56">
      <w:pPr>
        <w:widowControl w:val="0"/>
        <w:autoSpaceDE w:val="0"/>
        <w:autoSpaceDN w:val="0"/>
        <w:adjustRightInd w:val="0"/>
        <w:jc w:val="right"/>
      </w:pPr>
      <w:r>
        <w:t xml:space="preserve">Председатель </w:t>
      </w:r>
      <w:proofErr w:type="gramStart"/>
      <w:r>
        <w:t>Региональной</w:t>
      </w:r>
      <w:proofErr w:type="gramEnd"/>
    </w:p>
    <w:p w:rsidR="00CC1B56" w:rsidRDefault="00CC1B56">
      <w:pPr>
        <w:widowControl w:val="0"/>
        <w:autoSpaceDE w:val="0"/>
        <w:autoSpaceDN w:val="0"/>
        <w:adjustRightInd w:val="0"/>
        <w:jc w:val="right"/>
      </w:pPr>
      <w:r>
        <w:t>энергетической комиссии</w:t>
      </w:r>
    </w:p>
    <w:p w:rsidR="00CC1B56" w:rsidRDefault="00CC1B56">
      <w:pPr>
        <w:widowControl w:val="0"/>
        <w:autoSpaceDE w:val="0"/>
        <w:autoSpaceDN w:val="0"/>
        <w:adjustRightInd w:val="0"/>
        <w:jc w:val="right"/>
      </w:pPr>
      <w:r>
        <w:t>Кемеровской области</w:t>
      </w:r>
    </w:p>
    <w:p w:rsidR="00CC1B56" w:rsidRDefault="00CC1B56">
      <w:pPr>
        <w:widowControl w:val="0"/>
        <w:autoSpaceDE w:val="0"/>
        <w:autoSpaceDN w:val="0"/>
        <w:adjustRightInd w:val="0"/>
        <w:jc w:val="right"/>
      </w:pPr>
      <w:r>
        <w:t>А.Р.КРУМГОЛЬЦ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r>
        <w:br w:type="page"/>
      </w: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N 1</w:t>
      </w:r>
    </w:p>
    <w:p w:rsidR="00CC1B56" w:rsidRDefault="00CC1B56">
      <w:pPr>
        <w:widowControl w:val="0"/>
        <w:autoSpaceDE w:val="0"/>
        <w:autoSpaceDN w:val="0"/>
        <w:adjustRightInd w:val="0"/>
        <w:jc w:val="right"/>
      </w:pPr>
      <w:r>
        <w:t>к постановлению РЭК</w:t>
      </w:r>
    </w:p>
    <w:p w:rsidR="00CC1B56" w:rsidRDefault="00CC1B56">
      <w:pPr>
        <w:widowControl w:val="0"/>
        <w:autoSpaceDE w:val="0"/>
        <w:autoSpaceDN w:val="0"/>
        <w:adjustRightInd w:val="0"/>
        <w:jc w:val="right"/>
      </w:pPr>
      <w:r>
        <w:t>Кемеровской области</w:t>
      </w:r>
    </w:p>
    <w:p w:rsidR="00CC1B56" w:rsidRDefault="00CC1B56">
      <w:pPr>
        <w:widowControl w:val="0"/>
        <w:autoSpaceDE w:val="0"/>
        <w:autoSpaceDN w:val="0"/>
        <w:adjustRightInd w:val="0"/>
        <w:jc w:val="right"/>
      </w:pPr>
      <w:r>
        <w:t>от 30 ноября 2012 г. N 350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</w:pPr>
    </w:p>
    <w:p w:rsidR="00CC1B56" w:rsidRDefault="00CC1B56">
      <w:pPr>
        <w:pStyle w:val="ConsPlusTitle"/>
        <w:jc w:val="center"/>
        <w:rPr>
          <w:sz w:val="20"/>
          <w:szCs w:val="20"/>
        </w:rPr>
      </w:pPr>
      <w:bookmarkStart w:id="0" w:name="Par32"/>
      <w:bookmarkEnd w:id="0"/>
      <w:r>
        <w:rPr>
          <w:sz w:val="20"/>
          <w:szCs w:val="20"/>
        </w:rPr>
        <w:t>ТАРИФЫ</w:t>
      </w:r>
    </w:p>
    <w:p w:rsidR="00CC1B56" w:rsidRDefault="00CC1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ЭЛЕКТРИЧЕСКУЮ ЭНЕРГИЮ ДЛЯ НАСЕЛЕНИЯ И </w:t>
      </w:r>
      <w:proofErr w:type="gramStart"/>
      <w:r>
        <w:rPr>
          <w:sz w:val="20"/>
          <w:szCs w:val="20"/>
        </w:rPr>
        <w:t>ПРИРАВНЕННЫХ</w:t>
      </w:r>
      <w:proofErr w:type="gramEnd"/>
    </w:p>
    <w:p w:rsidR="00CC1B56" w:rsidRDefault="00CC1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НЕМУ КАТЕГОРИЙ ПОТРЕБИТЕЛЕЙ НА ТЕРРИТОРИИ КЕМЕРОВСКОЙ</w:t>
      </w:r>
    </w:p>
    <w:p w:rsidR="00CC1B56" w:rsidRDefault="00CC1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ОБЛАСТИ, ДЕЙСТВУЮЩИЕ С 01.01.2013 ПО 30.06.2013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640"/>
        <w:gridCol w:w="1560"/>
        <w:gridCol w:w="1200"/>
      </w:tblGrid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(группы потребителей с разбивкой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ставкам и дифференциацией по зонам суток)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(тариф)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43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2,31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1.1.2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3,01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1,55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1.1.3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4,21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2,31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1,55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61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    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1,62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1.2.2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2,11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1,09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1.2.3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2,95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1,62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1,09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1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1,62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1.3.2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2,11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1,09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1.3.3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2,95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1,62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1,09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приравненные к населению (тарифы указываются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НДС)                                         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2,31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3,01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1,55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4,21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2,31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1,55  </w:t>
            </w:r>
          </w:p>
        </w:tc>
      </w:tr>
    </w:tbl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Примечание.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Данные тарифы применяются в отношении граждан, использующих электроэнергию на коммунально-бытовые нужды, а также приравненных к населению категорий потребителей, которым электрическая энергия (мощность) поставляется по регулируемым ценам (тарифам) в соответствии с </w:t>
      </w:r>
      <w:hyperlink r:id="rId12" w:history="1">
        <w:r>
          <w:rPr>
            <w:color w:val="0000FF"/>
          </w:rPr>
          <w:t>пунктом 27</w:t>
        </w:r>
      </w:hyperlink>
      <w:r>
        <w:t xml:space="preserve">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Федеральной службы по тарифам от 06.08.2004 N 20-э/2.</w:t>
      </w:r>
      <w:proofErr w:type="gramEnd"/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21"/>
      <w:bookmarkEnd w:id="4"/>
      <w:r>
        <w:t xml:space="preserve">2. В соответствии с </w:t>
      </w:r>
      <w:hyperlink r:id="rId13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07.12.1998 N 1444 "Об основах ценообразования в отношении электрической энергии, потребляемой населением", применен понижающий коэффициент 0,7 для групп населения, проживающего в сельских населенных пунктах - </w:t>
      </w:r>
      <w:hyperlink w:anchor="Par81" w:history="1">
        <w:r>
          <w:rPr>
            <w:color w:val="0000FF"/>
          </w:rPr>
          <w:t>пункт 1.3</w:t>
        </w:r>
      </w:hyperlink>
      <w:r>
        <w:t>.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В соответствии с </w:t>
      </w:r>
      <w:hyperlink r:id="rId14" w:history="1">
        <w:r>
          <w:rPr>
            <w:color w:val="0000FF"/>
          </w:rPr>
          <w:t>п. 71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РФ от 29.12.2011 N 1178, применен понижающий коэффициент 0,7 для групп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 xml:space="preserve"> и (или) электроотопительными установками - </w:t>
      </w:r>
      <w:hyperlink w:anchor="Par61" w:history="1">
        <w:r>
          <w:rPr>
            <w:color w:val="0000FF"/>
          </w:rPr>
          <w:t>пункт 1.2</w:t>
        </w:r>
      </w:hyperlink>
      <w:r>
        <w:t>.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Электропотребление в местах общего пользования оплачивается по тарифу соответствующей группы населения и указанному в </w:t>
      </w:r>
      <w:hyperlink w:anchor="Par43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ar61" w:history="1">
        <w:r>
          <w:rPr>
            <w:color w:val="0000FF"/>
          </w:rPr>
          <w:t>1.2</w:t>
        </w:r>
      </w:hyperlink>
      <w:r>
        <w:t xml:space="preserve"> или </w:t>
      </w:r>
      <w:hyperlink w:anchor="Par81" w:history="1">
        <w:r>
          <w:rPr>
            <w:color w:val="0000FF"/>
          </w:rPr>
          <w:t>1.3</w:t>
        </w:r>
      </w:hyperlink>
      <w:r>
        <w:t>.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Интервалы тарифных зон суток ежегодно устанавливаются приказом ФСТ России. Пиковая зона в тарифе, дифференцированном по двум зонам суток, в </w:t>
      </w:r>
      <w:proofErr w:type="spellStart"/>
      <w:r>
        <w:t>т.ч</w:t>
      </w:r>
      <w:proofErr w:type="spellEnd"/>
      <w:r>
        <w:t>. содержит время полупиковой зоны.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hyperlink w:anchor="Par121" w:history="1">
        <w:r>
          <w:rPr>
            <w:color w:val="0000FF"/>
          </w:rPr>
          <w:t>Пункт 2</w:t>
        </w:r>
      </w:hyperlink>
      <w:r>
        <w:t xml:space="preserve"> применяется в отношении </w:t>
      </w:r>
      <w:hyperlink r:id="rId15" w:history="1">
        <w:r>
          <w:rPr>
            <w:color w:val="0000FF"/>
          </w:rPr>
          <w:t>перечня</w:t>
        </w:r>
      </w:hyperlink>
      <w:r>
        <w:t xml:space="preserve"> категорий потребителей, которые приравнены к населению и которым электрическая энергия (мощность) поставляется по регулируемым ценам (тарифам), утвержденного приказом ФСТ России от 31.12.2010 N 655-э (в редакции приказа ФСТ России от 15.06.2011 N 139-э/2):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t xml:space="preserve"> </w:t>
      </w:r>
      <w:proofErr w:type="gramStart"/>
      <w:r>
        <w:t xml:space="preserve">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пользования, в целях потребления на коммунально-бытовые нужды граждан и не используемого для осуществления коммерческой (профессиональной) деятельности (применяются тарифы, установленные в </w:t>
      </w:r>
      <w:hyperlink w:anchor="Par43" w:history="1">
        <w:r>
          <w:rPr>
            <w:color w:val="0000FF"/>
          </w:rPr>
          <w:t>пункте 1.1</w:t>
        </w:r>
      </w:hyperlink>
      <w:r>
        <w:t xml:space="preserve">, </w:t>
      </w:r>
      <w:hyperlink w:anchor="Par61" w:history="1">
        <w:r>
          <w:rPr>
            <w:color w:val="0000FF"/>
          </w:rPr>
          <w:t>1.2</w:t>
        </w:r>
      </w:hyperlink>
      <w:r>
        <w:t xml:space="preserve"> или </w:t>
      </w:r>
      <w:hyperlink w:anchor="Par81" w:history="1">
        <w:r>
          <w:rPr>
            <w:color w:val="0000FF"/>
          </w:rPr>
          <w:t>1.3</w:t>
        </w:r>
      </w:hyperlink>
      <w:r>
        <w:t>, в зависимости от структуры фактического потребления приобретающих у них</w:t>
      </w:r>
      <w:proofErr w:type="gramEnd"/>
      <w:r>
        <w:t xml:space="preserve"> электрическую энергию потребителей-граждан);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 (применяются тарифы, </w:t>
      </w:r>
      <w:r>
        <w:lastRenderedPageBreak/>
        <w:t xml:space="preserve">установленные в </w:t>
      </w:r>
      <w:hyperlink w:anchor="Par43" w:history="1">
        <w:r>
          <w:rPr>
            <w:color w:val="0000FF"/>
          </w:rPr>
          <w:t>пункте 1.1</w:t>
        </w:r>
      </w:hyperlink>
      <w:r>
        <w:t xml:space="preserve">, </w:t>
      </w:r>
      <w:hyperlink w:anchor="Par61" w:history="1">
        <w:r>
          <w:rPr>
            <w:color w:val="0000FF"/>
          </w:rPr>
          <w:t>1.2</w:t>
        </w:r>
      </w:hyperlink>
      <w:r>
        <w:t xml:space="preserve"> или </w:t>
      </w:r>
      <w:hyperlink w:anchor="Par81" w:history="1">
        <w:r>
          <w:rPr>
            <w:color w:val="0000FF"/>
          </w:rPr>
          <w:t>1.3</w:t>
        </w:r>
      </w:hyperlink>
      <w:r>
        <w:t>, в зависимости от структуры фактического потребления приобретающих у них электрическую энергию потребителей-граждан);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 (применяются тарифы, установленные в </w:t>
      </w:r>
      <w:hyperlink w:anchor="Par43" w:history="1">
        <w:r>
          <w:rPr>
            <w:color w:val="0000FF"/>
          </w:rPr>
          <w:t>пункте 1.1</w:t>
        </w:r>
      </w:hyperlink>
      <w:r>
        <w:t xml:space="preserve">, </w:t>
      </w:r>
      <w:hyperlink w:anchor="Par61" w:history="1">
        <w:r>
          <w:rPr>
            <w:color w:val="0000FF"/>
          </w:rPr>
          <w:t>1.2</w:t>
        </w:r>
      </w:hyperlink>
      <w:r>
        <w:t xml:space="preserve"> или </w:t>
      </w:r>
      <w:hyperlink w:anchor="Par81" w:history="1">
        <w:r>
          <w:rPr>
            <w:color w:val="0000FF"/>
          </w:rPr>
          <w:t>1.3</w:t>
        </w:r>
      </w:hyperlink>
      <w:r>
        <w:t>, в зависимости от структуры фактического потребления приобретающих у них электрическую энергию потребителей-граждан);</w:t>
      </w:r>
      <w:proofErr w:type="gramEnd"/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>- содержащиеся за счет прихожан религиозные организации;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гарантирующие поставщики, </w:t>
      </w:r>
      <w:proofErr w:type="spellStart"/>
      <w:r>
        <w:t>энергосбытовые</w:t>
      </w:r>
      <w:proofErr w:type="spellEnd"/>
      <w:r>
        <w:t xml:space="preserve">,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пользования, в целях потребления на коммунально-бытовые нужды граждан и не используемого для осуществления коммерческой (профессиональной) деятельности (применяются тарифы, установленные в </w:t>
      </w:r>
      <w:hyperlink w:anchor="Par43" w:history="1">
        <w:r>
          <w:rPr>
            <w:color w:val="0000FF"/>
          </w:rPr>
          <w:t>пункте 1.1</w:t>
        </w:r>
        <w:proofErr w:type="gramEnd"/>
      </w:hyperlink>
      <w:r>
        <w:t xml:space="preserve">, </w:t>
      </w:r>
      <w:hyperlink w:anchor="Par61" w:history="1">
        <w:proofErr w:type="gramStart"/>
        <w:r>
          <w:rPr>
            <w:color w:val="0000FF"/>
          </w:rPr>
          <w:t>1.2</w:t>
        </w:r>
      </w:hyperlink>
      <w:r>
        <w:t xml:space="preserve"> или </w:t>
      </w:r>
      <w:hyperlink w:anchor="Par81" w:history="1">
        <w:r>
          <w:rPr>
            <w:color w:val="0000FF"/>
          </w:rPr>
          <w:t>1.3</w:t>
        </w:r>
      </w:hyperlink>
      <w:r>
        <w:t>, в зависимости от структуры фактического потребления приобретающих у них электрическую энергию потребителей-граждан);</w:t>
      </w:r>
      <w:proofErr w:type="gramEnd"/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>- хозяйственные постройки физических лиц (погреба, сараи и иные сооружения аналогичного назначения);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</w:p>
    <w:p w:rsidR="00CC1B56" w:rsidRDefault="00CC1B56">
      <w:r>
        <w:br w:type="page"/>
      </w:r>
    </w:p>
    <w:p w:rsidR="00CC1B56" w:rsidRDefault="00CC1B56">
      <w:pPr>
        <w:widowControl w:val="0"/>
        <w:autoSpaceDE w:val="0"/>
        <w:autoSpaceDN w:val="0"/>
        <w:adjustRightInd w:val="0"/>
        <w:jc w:val="right"/>
        <w:outlineLvl w:val="0"/>
      </w:pPr>
      <w:bookmarkStart w:id="5" w:name="_GoBack"/>
      <w:bookmarkEnd w:id="5"/>
      <w:r>
        <w:lastRenderedPageBreak/>
        <w:t>Приложение N 2</w:t>
      </w:r>
    </w:p>
    <w:p w:rsidR="00CC1B56" w:rsidRDefault="00CC1B56">
      <w:pPr>
        <w:widowControl w:val="0"/>
        <w:autoSpaceDE w:val="0"/>
        <w:autoSpaceDN w:val="0"/>
        <w:adjustRightInd w:val="0"/>
        <w:jc w:val="right"/>
      </w:pPr>
      <w:r>
        <w:t>к постановлению РЭК</w:t>
      </w:r>
    </w:p>
    <w:p w:rsidR="00CC1B56" w:rsidRDefault="00CC1B56">
      <w:pPr>
        <w:widowControl w:val="0"/>
        <w:autoSpaceDE w:val="0"/>
        <w:autoSpaceDN w:val="0"/>
        <w:adjustRightInd w:val="0"/>
        <w:jc w:val="right"/>
      </w:pPr>
      <w:r>
        <w:t>Кемеровской области</w:t>
      </w:r>
    </w:p>
    <w:p w:rsidR="00CC1B56" w:rsidRDefault="00CC1B56">
      <w:pPr>
        <w:widowControl w:val="0"/>
        <w:autoSpaceDE w:val="0"/>
        <w:autoSpaceDN w:val="0"/>
        <w:adjustRightInd w:val="0"/>
        <w:jc w:val="right"/>
      </w:pPr>
      <w:r>
        <w:t>от 30 ноября 2012 г. N 350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</w:pPr>
    </w:p>
    <w:p w:rsidR="00CC1B56" w:rsidRDefault="00CC1B56">
      <w:pPr>
        <w:pStyle w:val="ConsPlusTitle"/>
        <w:jc w:val="center"/>
        <w:rPr>
          <w:sz w:val="20"/>
          <w:szCs w:val="20"/>
        </w:rPr>
      </w:pPr>
      <w:bookmarkStart w:id="6" w:name="Par144"/>
      <w:bookmarkEnd w:id="6"/>
      <w:r>
        <w:rPr>
          <w:sz w:val="20"/>
          <w:szCs w:val="20"/>
        </w:rPr>
        <w:t>ТАРИФЫ</w:t>
      </w:r>
    </w:p>
    <w:p w:rsidR="00CC1B56" w:rsidRDefault="00CC1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ЭЛЕКТРИЧЕСКУЮ ЭНЕРГИЮ ДЛЯ НАСЕЛЕНИЯ И </w:t>
      </w:r>
      <w:proofErr w:type="gramStart"/>
      <w:r>
        <w:rPr>
          <w:sz w:val="20"/>
          <w:szCs w:val="20"/>
        </w:rPr>
        <w:t>ПРИРАВНЕННЫХ</w:t>
      </w:r>
      <w:proofErr w:type="gramEnd"/>
    </w:p>
    <w:p w:rsidR="00CC1B56" w:rsidRDefault="00CC1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НЕМУ КАТЕГОРИЙ ПОТРЕБИТЕЛЕЙ НА ТЕРРИТОРИИ КЕМЕРОВСКОЙ</w:t>
      </w:r>
    </w:p>
    <w:p w:rsidR="00CC1B56" w:rsidRDefault="00CC1B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ОБЛАСТИ, ДЕЙСТВУЮЩИЕ С 01.07.2013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640"/>
        <w:gridCol w:w="1560"/>
        <w:gridCol w:w="1200"/>
      </w:tblGrid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(группы потребителей с разбивкой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ставкам и дифференциацией по зонам суток)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(тариф)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55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1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1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2,64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1.1.2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3,44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1,77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1.1.3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4,81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2,64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1,77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73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    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1,85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1.2.2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2,41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1,24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1.2.3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3,37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1,85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1,24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93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1,85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1.3.2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2,41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1,24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1.3.3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3,37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1,85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1,24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приравненные к населению (тарифы указываются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НДС)                                         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2,64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3,44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1,77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4,81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2,64  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1,77  </w:t>
            </w:r>
          </w:p>
        </w:tc>
      </w:tr>
    </w:tbl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Примечание.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Данные тарифы применяются в отношении граждан, использующих электроэнергию на коммунально-бытовые нужды, а также приравненных к населению категорий потребителей, которым электрическая энергия (мощность) поставляется по регулируемым ценам (тарифам) в соответствии с </w:t>
      </w:r>
      <w:hyperlink r:id="rId16" w:history="1">
        <w:r>
          <w:rPr>
            <w:color w:val="0000FF"/>
          </w:rPr>
          <w:t>пунктом 27</w:t>
        </w:r>
      </w:hyperlink>
      <w:r>
        <w:t xml:space="preserve">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Федеральной службы по тарифам от 06.08.2004 N 20-э/2.</w:t>
      </w:r>
      <w:proofErr w:type="gramEnd"/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233"/>
      <w:bookmarkEnd w:id="10"/>
      <w:r>
        <w:t xml:space="preserve">2. В соответствии с </w:t>
      </w:r>
      <w:hyperlink r:id="rId1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07.12.1998 N 1444 "Об основах ценообразования в отношении электрической энергии, потребляемой населением", применен понижающий коэффициент 0,7 для групп населения, проживающего в сельских населенных пунктах - </w:t>
      </w:r>
      <w:hyperlink w:anchor="Par193" w:history="1">
        <w:r>
          <w:rPr>
            <w:color w:val="0000FF"/>
          </w:rPr>
          <w:t>пункт 1.3</w:t>
        </w:r>
      </w:hyperlink>
      <w:r>
        <w:t>.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В соответствии с </w:t>
      </w:r>
      <w:hyperlink r:id="rId18" w:history="1">
        <w:r>
          <w:rPr>
            <w:color w:val="0000FF"/>
          </w:rPr>
          <w:t>п. 71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РФ от 29.12.2011 N 1178, применен понижающий коэффициент 0,7 для групп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 xml:space="preserve"> и (или) электроотопительными установками - </w:t>
      </w:r>
      <w:hyperlink w:anchor="Par173" w:history="1">
        <w:r>
          <w:rPr>
            <w:color w:val="0000FF"/>
          </w:rPr>
          <w:t>пункт 1.2</w:t>
        </w:r>
      </w:hyperlink>
      <w:r>
        <w:t>.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Электропотребление в местах общего пользования оплачивается по тарифу соответствующей группы населения и указанному в </w:t>
      </w:r>
      <w:hyperlink w:anchor="Par155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ar173" w:history="1">
        <w:r>
          <w:rPr>
            <w:color w:val="0000FF"/>
          </w:rPr>
          <w:t>1.2</w:t>
        </w:r>
      </w:hyperlink>
      <w:r>
        <w:t xml:space="preserve"> или </w:t>
      </w:r>
      <w:hyperlink w:anchor="Par193" w:history="1">
        <w:r>
          <w:rPr>
            <w:color w:val="0000FF"/>
          </w:rPr>
          <w:t>1.3</w:t>
        </w:r>
      </w:hyperlink>
      <w:r>
        <w:t>.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Интервалы тарифных зон суток ежегодно устанавливаются приказом ФСТ России. Пиковая зона в тарифе, дифференцированном по двум зонам суток, в </w:t>
      </w:r>
      <w:proofErr w:type="spellStart"/>
      <w:r>
        <w:t>т.ч</w:t>
      </w:r>
      <w:proofErr w:type="spellEnd"/>
      <w:r>
        <w:t>. содержит время полупиковой зоны.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hyperlink w:anchor="Par233" w:history="1">
        <w:r>
          <w:rPr>
            <w:color w:val="0000FF"/>
          </w:rPr>
          <w:t>Пункт 2</w:t>
        </w:r>
      </w:hyperlink>
      <w:r>
        <w:t xml:space="preserve"> применяется в отношении </w:t>
      </w:r>
      <w:hyperlink r:id="rId19" w:history="1">
        <w:r>
          <w:rPr>
            <w:color w:val="0000FF"/>
          </w:rPr>
          <w:t>перечня</w:t>
        </w:r>
      </w:hyperlink>
      <w:r>
        <w:t xml:space="preserve"> категорий потребителей, которые приравнены к населению и которым электрическая энергия (мощность) поставляется по регулируемым ценам (тарифам), утвержденного приказом ФСТ России от 31.12.2010 N 655-э (в редакции приказа ФСТ России от 15.06.2011 N 139-э/2):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t xml:space="preserve"> </w:t>
      </w:r>
      <w:proofErr w:type="gramStart"/>
      <w:r>
        <w:t xml:space="preserve">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пользования, в целях потребления на коммунально-бытовые нужды граждан и не используемого для осуществления коммерческой (профессиональной) деятельности (применяются тарифы, установленные в </w:t>
      </w:r>
      <w:hyperlink w:anchor="Par155" w:history="1">
        <w:r>
          <w:rPr>
            <w:color w:val="0000FF"/>
          </w:rPr>
          <w:t>пункте 1.1</w:t>
        </w:r>
      </w:hyperlink>
      <w:r>
        <w:t xml:space="preserve">, </w:t>
      </w:r>
      <w:hyperlink w:anchor="Par173" w:history="1">
        <w:r>
          <w:rPr>
            <w:color w:val="0000FF"/>
          </w:rPr>
          <w:t>1.2</w:t>
        </w:r>
      </w:hyperlink>
      <w:r>
        <w:t xml:space="preserve"> или </w:t>
      </w:r>
      <w:hyperlink w:anchor="Par193" w:history="1">
        <w:r>
          <w:rPr>
            <w:color w:val="0000FF"/>
          </w:rPr>
          <w:t>1.3</w:t>
        </w:r>
      </w:hyperlink>
      <w:r>
        <w:t>, в зависимости от структуры фактического потребления приобретающих у них</w:t>
      </w:r>
      <w:proofErr w:type="gramEnd"/>
      <w:r>
        <w:t xml:space="preserve"> электрическую энергию потребителей-граждан);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 (применяются тарифы, </w:t>
      </w:r>
      <w:r>
        <w:lastRenderedPageBreak/>
        <w:t xml:space="preserve">установленные в </w:t>
      </w:r>
      <w:hyperlink w:anchor="Par155" w:history="1">
        <w:r>
          <w:rPr>
            <w:color w:val="0000FF"/>
          </w:rPr>
          <w:t>пункте 1.1</w:t>
        </w:r>
      </w:hyperlink>
      <w:r>
        <w:t xml:space="preserve">, </w:t>
      </w:r>
      <w:hyperlink w:anchor="Par173" w:history="1">
        <w:r>
          <w:rPr>
            <w:color w:val="0000FF"/>
          </w:rPr>
          <w:t>1.2</w:t>
        </w:r>
      </w:hyperlink>
      <w:r>
        <w:t xml:space="preserve"> или </w:t>
      </w:r>
      <w:hyperlink w:anchor="Par193" w:history="1">
        <w:r>
          <w:rPr>
            <w:color w:val="0000FF"/>
          </w:rPr>
          <w:t>1.3</w:t>
        </w:r>
      </w:hyperlink>
      <w:r>
        <w:t>, в зависимости от структуры фактического потребления приобретающих у них электрическую энергию потребителей-граждан);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 (применяются тарифы, установленные в </w:t>
      </w:r>
      <w:hyperlink w:anchor="Par155" w:history="1">
        <w:r>
          <w:rPr>
            <w:color w:val="0000FF"/>
          </w:rPr>
          <w:t>пункте 1.1</w:t>
        </w:r>
      </w:hyperlink>
      <w:r>
        <w:t xml:space="preserve">, </w:t>
      </w:r>
      <w:hyperlink w:anchor="Par173" w:history="1">
        <w:r>
          <w:rPr>
            <w:color w:val="0000FF"/>
          </w:rPr>
          <w:t>1.2</w:t>
        </w:r>
      </w:hyperlink>
      <w:r>
        <w:t xml:space="preserve"> или </w:t>
      </w:r>
      <w:hyperlink w:anchor="Par193" w:history="1">
        <w:r>
          <w:rPr>
            <w:color w:val="0000FF"/>
          </w:rPr>
          <w:t>1.3</w:t>
        </w:r>
      </w:hyperlink>
      <w:r>
        <w:t>, в зависимости от структуры фактического потребления приобретающих у них электрическую энергию потребителей-граждан);</w:t>
      </w:r>
      <w:proofErr w:type="gramEnd"/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>- содержащиеся за счет прихожан религиозные организации;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гарантирующие поставщики, </w:t>
      </w:r>
      <w:proofErr w:type="spellStart"/>
      <w:r>
        <w:t>энергосбытовые</w:t>
      </w:r>
      <w:proofErr w:type="spellEnd"/>
      <w:r>
        <w:t xml:space="preserve">,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пользования, в целях потребления на коммунально-бытовые нужды граждан и не используемого для осуществления коммерческой (профессиональной) деятельности (применяются тарифы, установленные в </w:t>
      </w:r>
      <w:hyperlink w:anchor="Par155" w:history="1">
        <w:r>
          <w:rPr>
            <w:color w:val="0000FF"/>
          </w:rPr>
          <w:t>пункте 1.1</w:t>
        </w:r>
        <w:proofErr w:type="gramEnd"/>
      </w:hyperlink>
      <w:r>
        <w:t xml:space="preserve">, </w:t>
      </w:r>
      <w:hyperlink w:anchor="Par173" w:history="1">
        <w:proofErr w:type="gramStart"/>
        <w:r>
          <w:rPr>
            <w:color w:val="0000FF"/>
          </w:rPr>
          <w:t>1.2</w:t>
        </w:r>
      </w:hyperlink>
      <w:r>
        <w:t xml:space="preserve"> или </w:t>
      </w:r>
      <w:hyperlink w:anchor="Par193" w:history="1">
        <w:r>
          <w:rPr>
            <w:color w:val="0000FF"/>
          </w:rPr>
          <w:t>1.3</w:t>
        </w:r>
      </w:hyperlink>
      <w:r>
        <w:t>, в зависимости от структуры фактического потребления приобретающих у них электрическую энергию потребителей-граждан);</w:t>
      </w:r>
      <w:proofErr w:type="gramEnd"/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>- хозяйственные постройки физических лиц (погреба, сараи и иные сооружения аналогичного назначения);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  <w: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</w:p>
    <w:p w:rsidR="00CC1B56" w:rsidRDefault="00CC1B56">
      <w:pPr>
        <w:widowControl w:val="0"/>
        <w:autoSpaceDE w:val="0"/>
        <w:autoSpaceDN w:val="0"/>
        <w:adjustRightInd w:val="0"/>
        <w:ind w:firstLine="540"/>
        <w:jc w:val="both"/>
      </w:pPr>
    </w:p>
    <w:p w:rsidR="00CC1B56" w:rsidRDefault="00CC1B5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/>
    <w:sectPr w:rsidR="0091775E" w:rsidSect="00CC1B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6"/>
    <w:rsid w:val="004511EA"/>
    <w:rsid w:val="0091775E"/>
    <w:rsid w:val="00CC1B56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1B56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CC1B5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1B56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CC1B5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ADF21B98CC6422D62C7A8ED984C9E3AA415693F26DF3CF760790DA9384059EEA35596F5A9A6E9X4U1O" TargetMode="External"/><Relationship Id="rId13" Type="http://schemas.openxmlformats.org/officeDocument/2006/relationships/hyperlink" Target="consultantplus://offline/ref=E14ADF21B98CC6422D62C7A8ED984C9E39A1156F33288236FF39750FAE371F4EE9EA5997F5A9A6XEU0O" TargetMode="External"/><Relationship Id="rId18" Type="http://schemas.openxmlformats.org/officeDocument/2006/relationships/hyperlink" Target="consultantplus://offline/ref=E14ADF21B98CC6422D62C7A8ED984C9E3AA211693C20DF3CF760790DA9384059EEA35596F5A9A2ECX4U4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14ADF21B98CC6422D62C7A8ED984C9E39A1156F33288236FF39750FXAUEO" TargetMode="External"/><Relationship Id="rId12" Type="http://schemas.openxmlformats.org/officeDocument/2006/relationships/hyperlink" Target="consultantplus://offline/ref=E14ADF21B98CC6422D62C7A8ED984C9E3AA415693F26DF3CF760790DA9384059EEA35596F5A9A7E9X4U2O" TargetMode="External"/><Relationship Id="rId17" Type="http://schemas.openxmlformats.org/officeDocument/2006/relationships/hyperlink" Target="consultantplus://offline/ref=E14ADF21B98CC6422D62C7A8ED984C9E39A1156F33288236FF39750FAE371F4EE9EA5997F5A9A6XEU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4ADF21B98CC6422D62C7A8ED984C9E3AA415693F26DF3CF760790DA9384059EEA35596F5A9A7E9X4U2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ADF21B98CC6422D62C7A8ED984C9E3AA211693C20DF3CF760790DA9384059EEA35596F5A9A6ECX4U7O" TargetMode="External"/><Relationship Id="rId11" Type="http://schemas.openxmlformats.org/officeDocument/2006/relationships/hyperlink" Target="consultantplus://offline/ref=E14ADF21B98CC6422D62D9A5FBF4109B3FAD4F603E23D468A93F2250FE314A0EXAU9O" TargetMode="External"/><Relationship Id="rId5" Type="http://schemas.openxmlformats.org/officeDocument/2006/relationships/hyperlink" Target="consultantplus://offline/ref=E14ADF21B98CC6422D62C7A8ED984C9E3AA2116F3D26DF3CF760790DA9X3U8O" TargetMode="External"/><Relationship Id="rId15" Type="http://schemas.openxmlformats.org/officeDocument/2006/relationships/hyperlink" Target="consultantplus://offline/ref=E14ADF21B98CC6422D62C7A8ED984C9E3AA717643827DF3CF760790DA9384059EEA35596F5A9A6E9X4U0O" TargetMode="External"/><Relationship Id="rId10" Type="http://schemas.openxmlformats.org/officeDocument/2006/relationships/hyperlink" Target="consultantplus://offline/ref=E14ADF21B98CC6422D62C7A8ED984C9E3AA516693F2ADF3CF760790DA9X3U8O" TargetMode="External"/><Relationship Id="rId19" Type="http://schemas.openxmlformats.org/officeDocument/2006/relationships/hyperlink" Target="consultantplus://offline/ref=E14ADF21B98CC6422D62C7A8ED984C9E3AA717643827DF3CF760790DA9384059EEA35596F5A9A6E9X4U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ADF21B98CC6422D62C7A8ED984C9E3AA5196D3D21DF3CF760790DA9384059EEA35596F5A9A6E9X4U0O" TargetMode="External"/><Relationship Id="rId14" Type="http://schemas.openxmlformats.org/officeDocument/2006/relationships/hyperlink" Target="consultantplus://offline/ref=E14ADF21B98CC6422D62C7A8ED984C9E3AA211693C20DF3CF760790DA9384059EEA35596F5A9A2ECX4U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3313</Words>
  <Characters>18888</Characters>
  <Application>Microsoft Office Word</Application>
  <DocSecurity>0</DocSecurity>
  <Lines>157</Lines>
  <Paragraphs>44</Paragraphs>
  <ScaleCrop>false</ScaleCrop>
  <Company/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2013-02-04T14:20:00Z</dcterms:created>
  <dcterms:modified xsi:type="dcterms:W3CDTF">2013-02-04T14:21:00Z</dcterms:modified>
</cp:coreProperties>
</file>