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41/3-п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"РУСЭНЕРГОСБЫТ" ПОКУПАТЕЛЯМ, КРОМЕ НАСЕЛЕНИЯ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ПОТРЕБИТЕЛЕЙ, ПРИРАВНЕННЫХ К КАТЕГОРИИ "НАСЕЛЕНИЕ",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ЕВРЕЙСКОЙ АВТОНОМНОЙ ОБЛАСТИ, НА 2015 ГОД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комитета тарифов и цен правительства ЕАО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22.01.2015 </w:t>
      </w:r>
      <w:hyperlink r:id="rId6" w:history="1">
        <w:r>
          <w:rPr>
            <w:rFonts w:ascii="Calibri" w:hAnsi="Calibri" w:cs="Calibri"/>
            <w:color w:val="0000FF"/>
          </w:rPr>
          <w:t>N 1-п</w:t>
        </w:r>
      </w:hyperlink>
      <w:r>
        <w:rPr>
          <w:rFonts w:ascii="Calibri" w:hAnsi="Calibri" w:cs="Calibri"/>
        </w:rPr>
        <w:t xml:space="preserve">, от 26.03.2015 </w:t>
      </w:r>
      <w:hyperlink r:id="rId7" w:history="1">
        <w:r>
          <w:rPr>
            <w:rFonts w:ascii="Calibri" w:hAnsi="Calibri" w:cs="Calibri"/>
            <w:color w:val="0000FF"/>
          </w:rPr>
          <w:t>N 9/4-п</w:t>
        </w:r>
      </w:hyperlink>
      <w:r>
        <w:rPr>
          <w:rFonts w:ascii="Calibri" w:hAnsi="Calibri" w:cs="Calibri"/>
        </w:rPr>
        <w:t>)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комитета тарифов и цен от 25.12.2014 N 41/3-Р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2015 года по 31 декабря 2015 года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купли-продажи, согласно приложению N 1.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с 1 января 2015 года по 31 декабря 2015 года </w:t>
      </w:r>
      <w:hyperlink w:anchor="Par52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по договорам энергоснабжения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</w:t>
      </w:r>
      <w:proofErr w:type="gramEnd"/>
      <w:r>
        <w:rPr>
          <w:rFonts w:ascii="Calibri" w:hAnsi="Calibri" w:cs="Calibri"/>
        </w:rPr>
        <w:t>) электрическую сеть, согласно приложению N 2.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с 1 января 2015 года по 31 декабря 2015 года </w:t>
      </w:r>
      <w:hyperlink w:anchor="Par96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согласно приложению N 3.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официального опубликования.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41/3-п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50802" w:rsidSect="00A07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ТАРИФЫ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КУПЛИ-ПРОДАЖИ,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1757"/>
        <w:gridCol w:w="1417"/>
        <w:gridCol w:w="1428"/>
      </w:tblGrid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5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1,84732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1,81698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1,70745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1,60098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1,61049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95"/>
            <w:bookmarkEnd w:id="4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13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0,95666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0,94097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0,83419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электрической мощности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</w:rPr>
              <w:lastRenderedPageBreak/>
              <w:t>единицы электрической расчетной мощности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90"/>
            <w:bookmarkEnd w:id="6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92"/>
            <w:bookmarkEnd w:id="7"/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210"/>
            <w:bookmarkEnd w:id="8"/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228"/>
            <w:bookmarkEnd w:id="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0,95666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0,94097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0,83419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</w:t>
            </w:r>
            <w:r>
              <w:rPr>
                <w:rFonts w:ascii="Calibri" w:hAnsi="Calibri" w:cs="Calibri"/>
              </w:rPr>
              <w:lastRenderedPageBreak/>
              <w:t xml:space="preserve">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66"/>
            <w:bookmarkEnd w:id="10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1,80103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1,84732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1,81698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1,68288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1,70745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1,60098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1,61049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320"/>
            <w:bookmarkEnd w:id="11"/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3,49433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3,38731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3,44341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3,33163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3,09695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2,95276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374"/>
            <w:bookmarkEnd w:id="12"/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392"/>
            <w:bookmarkEnd w:id="1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0,95666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0,94097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0,77743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0,83419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430"/>
            <w:bookmarkEnd w:id="14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2,22589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2,23218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2,19178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2,19550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2,06866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2,06313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1,94594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484"/>
            <w:bookmarkEnd w:id="15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</w:tr>
    </w:tbl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5080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04"/>
      <w:bookmarkEnd w:id="16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05"/>
      <w:bookmarkEnd w:id="17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06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 (зарегистрировано Минюстом России 27.01.2011, регистрационный N 19594) с изменениями, внесенными Приказами ФСТ России от 15.06.2011 N 140-э/3 (зарегистрировано Минюстом России 18.07.2011,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21384), от 14.11.2011 N 250 (зарегистрировано Минюстом России 21.11.2011, регистрационный N 22343), от 13.03.2012 N 155-э (зарегистрировано Минюстом России 16.03.2012, регистрационный N 23505), от 19.07.2012 N 485-э (зарегистрировано Минюстом России 27.08.2012, регистрационный N 25275).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07"/>
      <w:bookmarkEnd w:id="1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95" w:history="1">
        <w:r>
          <w:rPr>
            <w:rFonts w:ascii="Calibri" w:hAnsi="Calibri" w:cs="Calibri"/>
            <w:color w:val="0000FF"/>
          </w:rPr>
          <w:t>строки 1.3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2.3.1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, </w:t>
      </w:r>
      <w:hyperlink w:anchor="Par266" w:history="1">
        <w:r>
          <w:rPr>
            <w:rFonts w:ascii="Calibri" w:hAnsi="Calibri" w:cs="Calibri"/>
            <w:color w:val="0000FF"/>
          </w:rPr>
          <w:t>3.1.3</w:t>
        </w:r>
      </w:hyperlink>
      <w:r>
        <w:rPr>
          <w:rFonts w:ascii="Calibri" w:hAnsi="Calibri" w:cs="Calibri"/>
        </w:rPr>
        <w:t xml:space="preserve">, </w:t>
      </w:r>
      <w:hyperlink w:anchor="Par320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, </w:t>
      </w:r>
      <w:hyperlink w:anchor="Par374" w:history="1">
        <w:r>
          <w:rPr>
            <w:rFonts w:ascii="Calibri" w:hAnsi="Calibri" w:cs="Calibri"/>
            <w:color w:val="0000FF"/>
          </w:rPr>
          <w:t>3.3.3</w:t>
        </w:r>
      </w:hyperlink>
      <w:r>
        <w:rPr>
          <w:rFonts w:ascii="Calibri" w:hAnsi="Calibri" w:cs="Calibri"/>
        </w:rPr>
        <w:t xml:space="preserve">, </w:t>
      </w:r>
      <w:hyperlink w:anchor="Par430" w:history="1">
        <w:r>
          <w:rPr>
            <w:rFonts w:ascii="Calibri" w:hAnsi="Calibri" w:cs="Calibri"/>
            <w:color w:val="0000FF"/>
          </w:rPr>
          <w:t>4.1.3</w:t>
        </w:r>
      </w:hyperlink>
      <w:r>
        <w:rPr>
          <w:rFonts w:ascii="Calibri" w:hAnsi="Calibri" w:cs="Calibri"/>
        </w:rPr>
        <w:t xml:space="preserve">, </w:t>
      </w:r>
      <w:hyperlink w:anchor="Par484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08"/>
      <w:bookmarkEnd w:id="20"/>
      <w:proofErr w:type="gramStart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 ("Собрание законодательства Российской Федерации", 2012, N 23, ст. 3008; 2013, N 1, ст. 45, ст. 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5, ст. 407).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09"/>
      <w:bookmarkEnd w:id="21"/>
      <w:proofErr w:type="gramStart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 ("Собрание законодательства Российской Федерации", 2004, N 52 (часть II), ст. 5525; 2007, N 14, ст. 1687; N 31, ст. 4100;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9, ст. 1103; N 8, ст. 979; N 17, ст. 2008; N 25, ст. 3073; N 41, ст. 4771; 2010, N 12, ст. 1333; N 21, ст. 2607; N 25, ст. 3175; N 40, ст. 5086; 2011, N 10, ст. 1406; 2012, N 4, ст. 504; N 23, ст. 3008;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41, ст. 5636; N 49, ст. 6858; N 52, ст. 7525).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515"/>
      <w:bookmarkEnd w:id="22"/>
      <w:r>
        <w:rPr>
          <w:rFonts w:ascii="Calibri" w:hAnsi="Calibri" w:cs="Calibri"/>
        </w:rPr>
        <w:t>Приложение N 2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41/3-п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521"/>
      <w:bookmarkEnd w:id="23"/>
      <w:r>
        <w:rPr>
          <w:rFonts w:ascii="Calibri" w:hAnsi="Calibri" w:cs="Calibri"/>
          <w:b/>
          <w:bCs/>
        </w:rPr>
        <w:t>ТАРИФЫ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 ДОГОВОРАМ ЭНЕРГОСНАБЖЕНИЯ ПОКУПАТЕЛЯМ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ОБЛАСТИ, ЗА ИСКЛЮЧЕНИЕМ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 ЭЛЕКТРОСЕТЕВОГО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 (ОБЩЕРОССИЙСКУЮ)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СЕТЬ, НА 2015 ГОД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22.01.2015 N 1-п)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5080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1757"/>
        <w:gridCol w:w="1417"/>
        <w:gridCol w:w="1428"/>
      </w:tblGrid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547"/>
            <w:bookmarkEnd w:id="2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573"/>
            <w:bookmarkEnd w:id="25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" w:name="Par592"/>
            <w:bookmarkEnd w:id="2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1,07750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0,89692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1,02086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0,85824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0,97072</w:t>
            </w:r>
          </w:p>
        </w:tc>
      </w:tr>
      <w:tr w:rsidR="00150802"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комитета тарифов и цен правительства ЕАО от 22.01.2015 N 1-п)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94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7" w:name="Par680"/>
            <w:bookmarkEnd w:id="27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8" w:name="Par682"/>
            <w:bookmarkEnd w:id="28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700"/>
            <w:bookmarkEnd w:id="29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0" w:name="Par718"/>
            <w:bookmarkEnd w:id="3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4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746"/>
            <w:bookmarkEnd w:id="31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2" w:name="Par790"/>
            <w:bookmarkEnd w:id="32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834"/>
            <w:bookmarkEnd w:id="33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4" w:name="Par852"/>
            <w:bookmarkEnd w:id="3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</w:t>
            </w:r>
            <w:proofErr w:type="gramStart"/>
            <w:r>
              <w:rPr>
                <w:rFonts w:ascii="Calibri" w:hAnsi="Calibri" w:cs="Calibri"/>
              </w:rPr>
              <w:t>дифференцированные</w:t>
            </w:r>
            <w:proofErr w:type="gramEnd"/>
            <w:r>
              <w:rPr>
                <w:rFonts w:ascii="Calibri" w:hAnsi="Calibri" w:cs="Calibri"/>
              </w:rPr>
              <w:t xml:space="preserve"> но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94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0,13653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5" w:name="Par880"/>
            <w:bookmarkEnd w:id="35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</w:t>
            </w:r>
            <w:hyperlink w:anchor="Par94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94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94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0,11260</w:t>
            </w:r>
          </w:p>
        </w:tc>
      </w:tr>
      <w:tr w:rsid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94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6" w:name="Par924"/>
            <w:bookmarkEnd w:id="36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</w:tr>
    </w:tbl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5080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44"/>
      <w:bookmarkEnd w:id="3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945"/>
      <w:bookmarkEnd w:id="38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946"/>
      <w:bookmarkEnd w:id="3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947"/>
      <w:bookmarkEnd w:id="4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573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680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682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700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746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790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834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880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924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948"/>
      <w:bookmarkEnd w:id="4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949"/>
      <w:bookmarkEnd w:id="4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955"/>
      <w:bookmarkEnd w:id="43"/>
      <w:r>
        <w:rPr>
          <w:rFonts w:ascii="Calibri" w:hAnsi="Calibri" w:cs="Calibri"/>
        </w:rPr>
        <w:t>Приложение N 3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41/3-п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4" w:name="Par961"/>
      <w:bookmarkEnd w:id="44"/>
      <w:r>
        <w:rPr>
          <w:rFonts w:ascii="Calibri" w:hAnsi="Calibri" w:cs="Calibri"/>
          <w:b/>
          <w:bCs/>
        </w:rPr>
        <w:t>ТАРИФЫ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ЭНЕРГОСНАБЖЕНИЯ,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9/4-п)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5080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333"/>
        <w:gridCol w:w="1757"/>
        <w:gridCol w:w="1417"/>
        <w:gridCol w:w="1417"/>
        <w:gridCol w:w="1417"/>
        <w:gridCol w:w="1417"/>
        <w:gridCol w:w="1417"/>
        <w:gridCol w:w="1417"/>
        <w:gridCol w:w="1587"/>
        <w:gridCol w:w="1417"/>
      </w:tblGrid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5" w:name="Par1000"/>
            <w:bookmarkEnd w:id="4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4,22733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</w:t>
            </w:r>
            <w:r>
              <w:rPr>
                <w:rFonts w:ascii="Calibri" w:hAnsi="Calibri" w:cs="Calibri"/>
              </w:rPr>
              <w:lastRenderedPageBreak/>
              <w:t xml:space="preserve">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4,19699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4,08746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3,99050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6" w:name="Par1089"/>
            <w:bookmarkEnd w:id="46"/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7" w:name="Par1131"/>
            <w:bookmarkEnd w:id="4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 w:rsidTr="00150802">
        <w:tc>
          <w:tcPr>
            <w:tcW w:w="1539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комитета тарифов и цен правительства ЕАО</w:t>
            </w:r>
            <w:proofErr w:type="gramEnd"/>
          </w:p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26.03.2015 N 9/4-п)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1015,17724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892,60615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0,921307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1,042387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1,209037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1,621217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1,11903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1,85804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</w:t>
            </w:r>
            <w:r>
              <w:rPr>
                <w:rFonts w:ascii="Calibri" w:hAnsi="Calibri" w:cs="Calibri"/>
              </w:rPr>
              <w:lastRenderedPageBreak/>
              <w:t xml:space="preserve">ой мощности </w:t>
            </w:r>
            <w:hyperlink w:anchor="Par20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1015,17724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892,60615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0,909207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1,196937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1,609117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1,84235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1015,17724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892,60615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0,865517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0,986597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1,78571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1015,17724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892,60615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0,947917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1,114567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1,73557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510,29094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150802" w:rsidTr="00150802">
        <w:tc>
          <w:tcPr>
            <w:tcW w:w="1539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комитета тарифов и цен правительства ЕАО</w:t>
            </w:r>
            <w:proofErr w:type="gramEnd"/>
          </w:p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26.03.2015 N 9/4-п)</w:t>
            </w:r>
            <w:bookmarkStart w:id="48" w:name="_GoBack"/>
            <w:bookmarkEnd w:id="48"/>
          </w:p>
        </w:tc>
      </w:tr>
      <w:tr w:rsidR="00150802" w:rsidTr="00150802"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20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1015,17724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892,60615</w:t>
            </w:r>
          </w:p>
        </w:tc>
      </w:tr>
      <w:tr w:rsidR="00150802" w:rsidTr="00150802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0,90138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9" w:name="Par1340"/>
            <w:bookmarkEnd w:id="49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0" w:name="Par1342"/>
            <w:bookmarkEnd w:id="50"/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670 кВт </w:t>
            </w:r>
            <w:r>
              <w:rPr>
                <w:rFonts w:ascii="Calibri" w:hAnsi="Calibri" w:cs="Calibri"/>
              </w:rPr>
              <w:lastRenderedPageBreak/>
              <w:t>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1" w:name="Par1384"/>
            <w:bookmarkEnd w:id="51"/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99,98380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129,62039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91,86370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119,09339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62,55481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81,09693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47,46013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2" w:name="Par1426"/>
            <w:bookmarkEnd w:id="5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2,633607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3,075607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2,85931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3,33667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2,289367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2,621507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3,063507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3,32098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2,577817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2,810557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3,019817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3,26434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2,206997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2,539137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2,771877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3,21420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</w:t>
            </w:r>
            <w:r>
              <w:rPr>
                <w:rFonts w:ascii="Calibri" w:hAnsi="Calibri" w:cs="Calibri"/>
              </w:rPr>
              <w:lastRenderedPageBreak/>
              <w:t>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3" w:name="Par1517"/>
            <w:bookmarkEnd w:id="53"/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3,230597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3,562737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3,795477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4,004737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3,74997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4,22733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3,204967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3,537107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3,769847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3,979107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4,19699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</w:t>
            </w:r>
            <w:r>
              <w:rPr>
                <w:rFonts w:ascii="Calibri" w:hAnsi="Calibri" w:cs="Calibri"/>
              </w:rPr>
              <w:lastRenderedPageBreak/>
              <w:t xml:space="preserve">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3,112447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3,444587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3,677327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3,886587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4,08746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3,030547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3,362687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3,595427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3,804687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3,99050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передаче </w:t>
            </w:r>
            <w:r>
              <w:rPr>
                <w:rFonts w:ascii="Calibri" w:hAnsi="Calibri" w:cs="Calibri"/>
              </w:rPr>
              <w:lastRenderedPageBreak/>
              <w:t>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1648"/>
            <w:bookmarkEnd w:id="54"/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0,37363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0,34329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0,23376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0,13680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5,28996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5,76732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5,71164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5,51068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5,09140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2,69897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1779"/>
            <w:bookmarkEnd w:id="55"/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0,68557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0,62989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0,42893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0,25102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6" w:name="Par1821"/>
            <w:bookmarkEnd w:id="5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2,301467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2,633607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3,075607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2,85931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3,33667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2,289367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2,621507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3,063507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3,32098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2,245677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2,577817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2,810557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3,019817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3,26434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2,206997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2,539137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2,771877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3,21420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0,76067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1912"/>
            <w:bookmarkEnd w:id="57"/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0,19322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0,17753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0,12089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0,07075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</w:t>
            </w:r>
            <w:r>
              <w:rPr>
                <w:rFonts w:ascii="Calibri" w:hAnsi="Calibri" w:cs="Calibri"/>
              </w:rPr>
              <w:lastRenderedPageBreak/>
              <w:t xml:space="preserve">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4,61219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4,09815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4,57551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4,44314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20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3,84859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4,32595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1,77782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1,47092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50802" w:rsidTr="001508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20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0,00277</w:t>
            </w:r>
          </w:p>
        </w:tc>
      </w:tr>
      <w:tr w:rsidR="00150802" w:rsidTr="0015080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2043"/>
            <w:bookmarkEnd w:id="58"/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0,45159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0,41491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0,28254</w:t>
            </w:r>
          </w:p>
        </w:tc>
      </w:tr>
      <w:tr w:rsidR="00150802" w:rsidTr="0015080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02" w:rsidRDefault="001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0,16535</w:t>
            </w:r>
          </w:p>
        </w:tc>
      </w:tr>
    </w:tbl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2087"/>
      <w:bookmarkEnd w:id="59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2088"/>
      <w:bookmarkEnd w:id="6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2089"/>
      <w:bookmarkEnd w:id="6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2090"/>
      <w:bookmarkEnd w:id="6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089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340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342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384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517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648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779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912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204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2091"/>
      <w:bookmarkEnd w:id="63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2092"/>
      <w:bookmarkEnd w:id="64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802" w:rsidRDefault="00150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DE1" w:rsidRDefault="00150802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2"/>
    <w:rsid w:val="00150802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64819F04ECF02F9CB8D416E70F7C0D5A158A68F7072C93B28DBC92C45T3N" TargetMode="External"/><Relationship Id="rId13" Type="http://schemas.openxmlformats.org/officeDocument/2006/relationships/hyperlink" Target="consultantplus://offline/ref=AB064819F04ECF02F9CB8D416E70F7C0D5A15CA98F7072C93B28DBC92C530E6758BBFB1E3FC9E20C4AT3N" TargetMode="External"/><Relationship Id="rId18" Type="http://schemas.openxmlformats.org/officeDocument/2006/relationships/hyperlink" Target="consultantplus://offline/ref=AB064819F04ECF02F9CB8D416E70F7C0D5A15CA98F7072C93B28DBC92C530E6758BBFB1E3FC9E20C4AT3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064819F04ECF02F9CB934C781CADCFD2AD04A28C7E709E677780947B5A04301FF4A25C7BC4E30AA2F68A4ETBN" TargetMode="External"/><Relationship Id="rId7" Type="http://schemas.openxmlformats.org/officeDocument/2006/relationships/hyperlink" Target="consultantplus://offline/ref=AB064819F04ECF02F9CB934C781CADCFD2AD04A28C7E709E677780947B5A04301FF4A25C7BC4E30AA2F68A4ET4N" TargetMode="External"/><Relationship Id="rId12" Type="http://schemas.openxmlformats.org/officeDocument/2006/relationships/hyperlink" Target="consultantplus://offline/ref=AB064819F04ECF02F9CB8D416E70F7C0D5A55EA88D7772C93B28DBC92C530E6758BBFB1E3FC9E20B4AT2N" TargetMode="External"/><Relationship Id="rId17" Type="http://schemas.openxmlformats.org/officeDocument/2006/relationships/hyperlink" Target="consultantplus://offline/ref=AB064819F04ECF02F9CB8D416E70F7C0D5A55EA88D7772C93B28DBC92C530E6758BBFB1E3FC9E20B4AT2N" TargetMode="External"/><Relationship Id="rId25" Type="http://schemas.openxmlformats.org/officeDocument/2006/relationships/hyperlink" Target="consultantplus://offline/ref=AB064819F04ECF02F9CB8D416E70F7C0D5A15CA88D7372C93B28DBC92C530E6758BBFB1E3FC9E10D4AT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64819F04ECF02F9CB934C781CADCFD2AD04A28C7E7B9B6F7780947B5A04301FF4A25C7BC4E30AA2F68A4ETBN" TargetMode="External"/><Relationship Id="rId20" Type="http://schemas.openxmlformats.org/officeDocument/2006/relationships/hyperlink" Target="consultantplus://offline/ref=AB064819F04ECF02F9CB934C781CADCFD2AD04A28C7E709E677780947B5A04301FF4A25C7BC4E30AA2F68A4ET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4819F04ECF02F9CB934C781CADCFD2AD04A28C7E7B9B6F7780947B5A04301FF4A25C7BC4E30AA2F68A4ET4N" TargetMode="External"/><Relationship Id="rId11" Type="http://schemas.openxmlformats.org/officeDocument/2006/relationships/hyperlink" Target="consultantplus://offline/ref=AB064819F04ECF02F9CB934C781CADCFD2AD04A28C7F7F96677780947B5A04301FF4A25C7BC4E30AA2F6884ET7N" TargetMode="External"/><Relationship Id="rId24" Type="http://schemas.openxmlformats.org/officeDocument/2006/relationships/hyperlink" Target="consultantplus://offline/ref=AB064819F04ECF02F9CB8D416E70F7C0D5A15CA98F7072C93B28DBC92C530E6758BBFB1E3FC9E20C4AT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064819F04ECF02F9CB934C781CADCFD2AD04A28C7E7B9B6F7780947B5A04301FF4A25C7BC4E30AA2F68A4ETBN" TargetMode="External"/><Relationship Id="rId23" Type="http://schemas.openxmlformats.org/officeDocument/2006/relationships/hyperlink" Target="consultantplus://offline/ref=AB064819F04ECF02F9CB8D416E70F7C0D5A55EA88D7772C93B28DBC92C530E6758BBFB1E3FC9E20B4AT2N" TargetMode="External"/><Relationship Id="rId10" Type="http://schemas.openxmlformats.org/officeDocument/2006/relationships/hyperlink" Target="consultantplus://offline/ref=AB064819F04ECF02F9CB8D416E70F7C0D5A15EA9867372C93B28DBC92C45T3N" TargetMode="External"/><Relationship Id="rId19" Type="http://schemas.openxmlformats.org/officeDocument/2006/relationships/hyperlink" Target="consultantplus://offline/ref=AB064819F04ECF02F9CB8D416E70F7C0D5A15CA88D7372C93B28DBC92C530E6758BBFB1E3FC9E10D4A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4819F04ECF02F9CB8D416E70F7C0D5A15FA6897672C93B28DBC92C45T3N" TargetMode="External"/><Relationship Id="rId14" Type="http://schemas.openxmlformats.org/officeDocument/2006/relationships/hyperlink" Target="consultantplus://offline/ref=AB064819F04ECF02F9CB8D416E70F7C0D5A15CA88D7372C93B28DBC92C530E6758BBFB1E3FC9E10D4ATBN" TargetMode="External"/><Relationship Id="rId22" Type="http://schemas.openxmlformats.org/officeDocument/2006/relationships/hyperlink" Target="consultantplus://offline/ref=AB064819F04ECF02F9CB934C781CADCFD2AD04A28C7E709E677780947B5A04301FF4A25C7BC4E30AA2F6884ET4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8251</Words>
  <Characters>47034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2015-04-21T13:19:00Z</dcterms:created>
  <dcterms:modified xsi:type="dcterms:W3CDTF">2015-04-21T13:27:00Z</dcterms:modified>
</cp:coreProperties>
</file>