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государственно-правовом управлении Правительства </w:t>
      </w:r>
      <w:proofErr w:type="gramStart"/>
      <w:r>
        <w:rPr>
          <w:rFonts w:ascii="Calibri" w:hAnsi="Calibri" w:cs="Calibri"/>
        </w:rPr>
        <w:t>Ярославской</w:t>
      </w:r>
      <w:proofErr w:type="gramEnd"/>
      <w:r>
        <w:rPr>
          <w:rFonts w:ascii="Calibri" w:hAnsi="Calibri" w:cs="Calibri"/>
        </w:rPr>
        <w:t xml:space="preserve"> области 20 декабря 2013 г. N 01-3591</w:t>
      </w:r>
    </w:p>
    <w:p w:rsidR="00BF179F" w:rsidRDefault="00BF17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ЭНЕРГЕТИКИ И РЕГУЛИРОВАНИЯ ТАРИФОВ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ЯРОСЛАВСКОЙ ОБЛАСТИ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171-э/э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ЦЕН (ТАРИФОВ) НА ЭЛЕКТРИЧЕСКУЮ ЭНЕРГИЮ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НАСЕЛЕНИЯ И ПРИРАВНЕННЫХ К НЕМУ КАТЕГОРИЙ ПОТРЕБИТЕЛЕЙ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ЯРОСЛАВСКОЙ ОБЛАСТИ НА 2014 ГОД И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СИЛУ ПРИКАЗА ДЕПАРТАМЕНТА ТОПЛИВА, ЭНЕРГЕТИКИ И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ТАРИФОВ ЯРОСЛАВСКОЙ ОБЛАСТИ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30.11.2012 N 159-Э/Э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приказами Федеральной службы по тарифам от 6 августа 2004 г. N 20-э/2 "Об утверждении методических указаний по расчету регулируемых тарифов и цен на электрическую (тепловую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энергию на розничном (потребительском) рынке", от 28 марта 2013 г.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 департаменте энергетики и регулирования тарифов Ярославской области, утвержденным постановлением Правительства области от 09.08.2012 N 709-п "Об утверждении Положения о департаменте энергетики и регулирования тарифов Ярославской области, признании утратившим силу постановления Администрации области от 25.08.2004 N 141 и внесении изменений в постановление Администрации области от 18.12.2007 N 676-а", на основании решения правления департамента энергетики и регулирования тарифов Ярославской области от</w:t>
      </w:r>
      <w:proofErr w:type="gramEnd"/>
      <w:r>
        <w:rPr>
          <w:rFonts w:ascii="Calibri" w:hAnsi="Calibri" w:cs="Calibri"/>
        </w:rPr>
        <w:t xml:space="preserve"> 19.12.2013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ЭНЕРГЕТИКИ И РЕГУЛИРОВАНИЯ ТАРИФОВ ЯРОСЛАВСКОЙ ОБЛАСТИ ПРИКАЗЫВАЕТ: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 xml:space="preserve">1. Установить </w:t>
      </w:r>
      <w:hyperlink w:anchor="Par44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(тарифы) на электрическую энергию для населения и приравненных к нему категорий потребителей по Ярославской области на 2014 год (с календарной разбивкой) согласно приложению.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Цены (тарифы), установленные </w:t>
      </w:r>
      <w:hyperlink w:anchor="Par2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>, применяются соответственно с 01 января 2014 года по 30 июня 2014 года и с 01 июля 2014 года по 31 декабря 2014 года.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01.01.2014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топлива, энергетики и регулирования тарифов Ярославской области от 30.11.2012 N 159-э/э "Об установлении цен (тарифов) на электрическую энергию для населения и приравненным к нему категориям потребителей по Ярославской области на 2013 год".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Приказ вступает в силу через 10 дней с момента его официального опубликования.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 области -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Н.В.ШАПОШНИКОВА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7"/>
      <w:bookmarkStart w:id="3" w:name="_GoBack"/>
      <w:bookmarkEnd w:id="2"/>
      <w:bookmarkEnd w:id="3"/>
      <w:r>
        <w:rPr>
          <w:rFonts w:ascii="Calibri" w:hAnsi="Calibri" w:cs="Calibri"/>
        </w:rPr>
        <w:lastRenderedPageBreak/>
        <w:t>Приложение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энергетики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тарифов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20.12.2013 N 171-э/э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4"/>
      <w:bookmarkEnd w:id="4"/>
      <w:r>
        <w:rPr>
          <w:rFonts w:ascii="Calibri" w:hAnsi="Calibri" w:cs="Calibri"/>
          <w:b/>
          <w:bCs/>
        </w:rPr>
        <w:t>ЦЕНЫ (ТАРИФЫ)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ПРИРАВНЕННЫХ</w:t>
      </w:r>
      <w:proofErr w:type="gramEnd"/>
      <w:r>
        <w:rPr>
          <w:rFonts w:ascii="Calibri" w:hAnsi="Calibri" w:cs="Calibri"/>
          <w:b/>
          <w:bCs/>
        </w:rPr>
        <w:t xml:space="preserve"> К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НЕМУ КАТЕГОРИЙ ПОТРЕБИТЕЛЕЙ ПО ЯРОСЛАВСКОЙ ОБЛАСТИ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2014 ГОД (С КАЛЕНДАРНОЙ РАЗБИВКОЙ)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1587"/>
        <w:gridCol w:w="1928"/>
        <w:gridCol w:w="1871"/>
      </w:tblGrid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60"/>
            <w:bookmarkEnd w:id="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с учетом НДС)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разделах 2 и 3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93"/>
            <w:bookmarkEnd w:id="6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пунктах,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" w:name="Par125"/>
            <w:bookmarkEnd w:id="7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" w:name="Par156"/>
            <w:bookmarkEnd w:id="8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за исключением указанного в пунктах 4.2 и 4.3 раздела 4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проживающие в городских населенных пунктах,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проживающие в сельских населенных пунктах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</w:tr>
      <w:tr w:rsidR="00BF17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F" w:rsidRDefault="00BF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</w:tbl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тарифной группе "население" относятся граждане, использующие электроэнергию на коммунально-бытовые нужды.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потребителям, приравненным к категории "население", относятся: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</w:t>
      </w:r>
      <w:r>
        <w:rPr>
          <w:rFonts w:ascii="Calibri" w:hAnsi="Calibri" w:cs="Calibri"/>
        </w:rPr>
        <w:lastRenderedPageBreak/>
        <w:t>зонах при воинских частях, рассчитывающихся по договору энергоснабжения (купли-продажи) по общему счетчику;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граждан, не используемой для осуществления коммерческой деятельности.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Виды городских населенных пунктов и приписанных к ним поселений и сельских населенных пунктов и приписанных к ним поселений, а также порядок их отнесения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городским и сельским устанавливаются в соответствии с законодательством Ярославской области об административно-территориальном делении.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Интервалы тарифных зон суток для </w:t>
      </w:r>
      <w:proofErr w:type="spellStart"/>
      <w:r>
        <w:rPr>
          <w:rFonts w:ascii="Calibri" w:hAnsi="Calibri" w:cs="Calibri"/>
        </w:rPr>
        <w:t>энергозон</w:t>
      </w:r>
      <w:proofErr w:type="spellEnd"/>
      <w:r>
        <w:rPr>
          <w:rFonts w:ascii="Calibri" w:hAnsi="Calibri" w:cs="Calibri"/>
        </w:rPr>
        <w:t xml:space="preserve"> Российской Федерации устанавливаются Федеральной службой по тарифам.</w:t>
      </w: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79F" w:rsidRDefault="00BF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79F" w:rsidRDefault="00BF17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BF179F"/>
    <w:sectPr w:rsidR="00DC197A" w:rsidSect="00BF179F">
      <w:pgSz w:w="11905" w:h="16838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9F"/>
    <w:rsid w:val="00BF179F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C1FDA685A3260B6793D6B96FBFA5FA8E97E79632006D5496003346EC27FFAh7t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AC1FDA685A3260B6793D6B96FBFA5FA8E97E79602901D3486003346EC27FFA7D0963A808AD1DB4736B6DhCt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C1FDA685A3260B67923668097A45AAFE7277764210C811D3F586939hCtBN" TargetMode="External"/><Relationship Id="rId5" Type="http://schemas.openxmlformats.org/officeDocument/2006/relationships/hyperlink" Target="consultantplus://offline/ref=9AAC1FDA685A3260B67923668097A45AAFE7247C67280C811D3F586939CB75AD3A463AEA4CA11DB4h7t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1</cp:revision>
  <dcterms:created xsi:type="dcterms:W3CDTF">2014-02-14T13:45:00Z</dcterms:created>
  <dcterms:modified xsi:type="dcterms:W3CDTF">2014-02-14T13:47:00Z</dcterms:modified>
</cp:coreProperties>
</file>