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ГОСУДАРСТВЕННЫЙ КОМИТЕТ ПО ТАРИФАМ И ЭНЕРГЕТИКЕ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ХАКАСИЯ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2013 г. N 304-э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СБЫТОВЫХ НАДБАВОК ГАРАНТИРУЮЩИХ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ЭЛЕКТРИЧЕСКОЙ ЭНЕРГИИ, ДЕЙСТВУЮЩИХ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РЕСПУБЛИКИ ХАКАСИЯ, НА 2014 ГОД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 последующими изменениями),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 (с последующими изменениями),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Хакасия от 06.06.2012 N 372 "Об утверждении Положения о Государственном комитете по тарифам и энергетике Республики Хакасия и внесении изменений в Постановление Правительства Республики Хакасия от 29.01.2003 N 08</w:t>
      </w:r>
      <w:proofErr w:type="gramEnd"/>
      <w:r>
        <w:rPr>
          <w:rFonts w:ascii="Calibri" w:hAnsi="Calibri" w:cs="Calibri"/>
        </w:rPr>
        <w:t xml:space="preserve"> "О передаче полномочий по осуществлению государственного регулирования цен (тарифов) в Республике Хакасия" (с последующими изменениями) и на основании решения Правления Государственного комитета по тарифам и энергетике Республики Хакасия (протокол заседания от 23.12.2013 N 261) приказываю: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1. Установить на 2014 год сбытовые </w:t>
      </w:r>
      <w:hyperlink w:anchor="Par31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и размеры доходности продаж гарантирующих поставщиков электрической энергии, действующих на территории Республики Хакасия, согласно приложению к настоящему приказу.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1 января 2014 года по 31 декабря 2014 года.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 председателя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О.БАЗИЕВ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23.12.2013 N 304-э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162CA" w:rsidSect="00012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СБЫТОВАЯ НАДБАВКА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ГАРАНТИРУЮЩИХ ПОСТАВЩИКОВ ЭЛЕКТРИЧЕСКОЙ ЭНЕРГИИ,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ПОСТАВЛЯЮЩИХ</w:t>
      </w:r>
      <w:proofErr w:type="gramEnd"/>
      <w:r>
        <w:rPr>
          <w:rFonts w:ascii="Calibri" w:hAnsi="Calibri" w:cs="Calibri"/>
          <w:b/>
          <w:bCs/>
        </w:rPr>
        <w:t xml:space="preserve"> ЭЛЕКТРИЧЕСКУЮ ЭНЕРГИЮ (МОЩНОСТЬ) НА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РОЗНИЧНОМ РЫНКЕ НА ТЕРРИТОРИЯХ, ОБЪЕДИНЕННЫХ В </w:t>
      </w:r>
      <w:proofErr w:type="gramStart"/>
      <w:r>
        <w:rPr>
          <w:rFonts w:ascii="Calibri" w:hAnsi="Calibri" w:cs="Calibri"/>
          <w:b/>
          <w:bCs/>
        </w:rPr>
        <w:t>ЦЕНОВЫЕ</w:t>
      </w:r>
      <w:proofErr w:type="gramEnd"/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НЕЦЕНОВЫЕ ЗОНЫ ОПТОВОГО РЫНКА (ТАРИФЫ УКАЗЫВАЮТСЯ</w:t>
      </w:r>
      <w:proofErr w:type="gramEnd"/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БЕЗ НДС)</w:t>
      </w:r>
      <w:proofErr w:type="gramEnd"/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2721"/>
        <w:gridCol w:w="2381"/>
      </w:tblGrid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Республике Хакасия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2"/>
            <w:bookmarkEnd w:id="4"/>
            <w:r>
              <w:rPr>
                <w:rFonts w:ascii="Calibri" w:hAnsi="Calibri" w:cs="Calibri"/>
              </w:rPr>
              <w:t>Тарифная группа потребителей "население" и приравненные к нему категории потребителей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"Абаканэнергосбыт"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139,55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139,55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"Оборонэнергосбыт"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139,55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"Хакасэнергосбыт"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141,13</w:t>
            </w:r>
          </w:p>
        </w:tc>
      </w:tr>
    </w:tbl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2778"/>
        <w:gridCol w:w="2381"/>
      </w:tblGrid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Республике Хакасия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71"/>
            <w:bookmarkEnd w:id="5"/>
            <w:r>
              <w:rPr>
                <w:rFonts w:ascii="Calibri" w:hAnsi="Calibri" w:cs="Calibri"/>
              </w:rP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x ч.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"Абаканэнергосбыт"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208,78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58,98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"Оборонэнергосбыт"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702,02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820,32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"Хакасэнергосбыт"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252,38</w:t>
            </w:r>
          </w:p>
        </w:tc>
      </w:tr>
    </w:tbl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│                                  Сбытовая надбавка             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гарантирующего  ├─────────────────────────────────────────────────────────────────────────────────────┤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99"/>
      <w:bookmarkEnd w:id="6"/>
      <w:r>
        <w:rPr>
          <w:rFonts w:ascii="Courier New" w:hAnsi="Courier New" w:cs="Courier New"/>
          <w:sz w:val="20"/>
          <w:szCs w:val="20"/>
        </w:rPr>
        <w:lastRenderedPageBreak/>
        <w:t>│   │    поставщика    │                        Тарифная группа "прочие потребители"    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в Республике   ├─────────────────────────────────────────────────────────────────────────────────────┤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Хакасия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        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виде формулы на розничном рынке на территориях, объединенных в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          ценовые зоны оптового рынка        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├──────────────────────────────────────────┬──────────────────────────────────────────┤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1 полугодие                │               2 полугодие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 │                    3                     │                    4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│ОАО               │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     │                     рег    э(м)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│"Абаканэнергосбыт"│СН           = ДП х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│СН           = ДП x К    x Ц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до 150 кВт                             │  до 150 кВт         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│                            рег    э(м)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│СН 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│СН                  = ДП x К    x Ц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от 150 до 670 кВт                       │  от 150 до 670 кВт  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  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м)│                               рег    э(м)│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│СН    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│СН                     = ДП x К    x Ц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от 670 кВт до 10 МВт                    │  от 670 кВт до 10 МВт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│                          рег    э(м)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│СН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│СН                = ДП x К    x Ц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не менее 10 МВт                         │  не менее 10 МВт    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  │ООО               │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     │                     рег    э(м)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│"Русэнергосбыт"   │СН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│СН           = ДП x К    x Ц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до 150 кВт                              │  до 150 кВт         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│                            рег    э(м)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│СН 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│СН                  = ДП x К    x Ц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от 150 до 670 кВт                       │  от 150 до 670 кВт  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  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м)│                               рег    э(м)│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│СН    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│СН                     = ДП x К    x Ц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от 670 кВт до 10 МВт                    │  от 670 кВт до 10 МВт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│                          рег    э(м)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│СН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│СН                = ДП x К    x Ц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не менее 10 МВт                         │  не менее 10 МВт    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│3  │ОАО               │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     │                     рег    э(м)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│"Оборонэнергосбыт"│СН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│СН           = ДП x К    x Ц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до 150 кВт                              │  до 150 кВт         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│                            рег    э(м)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│СН 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│СН                  = ДП x К    x Ц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от 150 до 670 кВт                       │  от 150 до 670 кВт  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  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м)│                               рег    э(м)│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│СН    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│СН                     = ДП x К    x Ц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от 670 кВт до 10 МВт                    │  от 670 кВт до 10 МВт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│                          рег    э(м)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│СН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│СН                = ДП x К    x Ц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не менее 10 МВт                         │  не менее 10 МВт    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  │ОАО               │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     │                     рег    э(м)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│"Хакасэнергосбыт" │СН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│СН           = ДП x К    x Ц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до 150 кВт                              │  до 150 кВт         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│                            рег    э(м)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│СН 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│СН                  = ДП x К    x Ц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от 150 до 670 кВт                       │  от 150 до 670 кВт  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  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м)│                               рег    э(м)│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│СН     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│СН                     = ДП x К    x Ц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от 670 кВт до 10 МВт                    │  от 670 кВт до 10 МВт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├──────────────────────────────────────────┼──────────────────────────────────────────┤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                  рег    </w:t>
      </w:r>
      <w:proofErr w:type="gramStart"/>
      <w:r>
        <w:rPr>
          <w:rFonts w:ascii="Courier New" w:hAnsi="Courier New" w:cs="Courier New"/>
          <w:sz w:val="20"/>
          <w:szCs w:val="20"/>
        </w:rPr>
        <w:t>э(</w:t>
      </w:r>
      <w:proofErr w:type="gramEnd"/>
      <w:r>
        <w:rPr>
          <w:rFonts w:ascii="Courier New" w:hAnsi="Courier New" w:cs="Courier New"/>
          <w:sz w:val="20"/>
          <w:szCs w:val="20"/>
        </w:rPr>
        <w:t>м)     │                          рег    э(м)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│СН                = ДП x К    x </w:t>
      </w:r>
      <w:proofErr w:type="gramStart"/>
      <w:r>
        <w:rPr>
          <w:rFonts w:ascii="Courier New" w:hAnsi="Courier New" w:cs="Courier New"/>
          <w:sz w:val="20"/>
          <w:szCs w:val="20"/>
        </w:rPr>
        <w:t>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│СН                = ДП x К    x Ц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не менее 10 МВт                         │  не менее 10 МВт      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────────────────────────────────┴──────────────────────────────────────────┘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2CA" w:rsidRDefault="00D162CA">
      <w:pPr>
        <w:pStyle w:val="ConsPlusNonformat"/>
      </w:pPr>
      <w:r>
        <w:t xml:space="preserve">     </w:t>
      </w:r>
      <w:proofErr w:type="gramStart"/>
      <w:r>
        <w:t>э(</w:t>
      </w:r>
      <w:proofErr w:type="gramEnd"/>
      <w:r>
        <w:t>м)</w:t>
      </w:r>
    </w:p>
    <w:p w:rsidR="00D162CA" w:rsidRDefault="00D162CA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 - j-й вид цены  на электрическую энергию и  (или)  мощность  k-го</w:t>
      </w:r>
    </w:p>
    <w:p w:rsidR="00D162CA" w:rsidRDefault="00D162CA">
      <w:pPr>
        <w:pStyle w:val="ConsPlusNonformat"/>
      </w:pPr>
      <w:r>
        <w:t xml:space="preserve">     j, k</w:t>
      </w:r>
    </w:p>
    <w:p w:rsidR="00D162CA" w:rsidRDefault="00D162CA">
      <w:pPr>
        <w:pStyle w:val="ConsPlusNonformat"/>
      </w:pPr>
      <w:r>
        <w:t xml:space="preserve"> ГП, руб./кВт. x ч. или руб./кВт, указанный в </w:t>
      </w:r>
      <w:hyperlink r:id="rId9" w:history="1">
        <w:r>
          <w:rPr>
            <w:color w:val="0000FF"/>
          </w:rPr>
          <w:t>п. 16</w:t>
        </w:r>
      </w:hyperlink>
      <w:r>
        <w:t xml:space="preserve">  Методических  указаний</w:t>
      </w:r>
    </w:p>
    <w:p w:rsidR="00D162CA" w:rsidRDefault="00D162CA">
      <w:pPr>
        <w:pStyle w:val="ConsPlusNonformat"/>
      </w:pPr>
      <w:r>
        <w:t>по расчету сбытовых надбавок гарантирующих поставщиков и размера доходности</w:t>
      </w:r>
    </w:p>
    <w:p w:rsidR="00D162CA" w:rsidRDefault="00D162CA">
      <w:pPr>
        <w:pStyle w:val="ConsPlusNonformat"/>
      </w:pPr>
      <w:r>
        <w:t xml:space="preserve">продаж гарантирующих  поставщиков,  утвержденных  приказом  ФСТ  России  </w:t>
      </w:r>
      <w:proofErr w:type="gramStart"/>
      <w:r>
        <w:t>от</w:t>
      </w:r>
      <w:proofErr w:type="gramEnd"/>
    </w:p>
    <w:p w:rsidR="00D162CA" w:rsidRDefault="00D162CA">
      <w:pPr>
        <w:pStyle w:val="ConsPlusNonformat"/>
      </w:pPr>
      <w:proofErr w:type="gramStart"/>
      <w:r>
        <w:t>30.10.2012  N  703-э  (зарегистрировано  в   Минюсте   России   29.11.2012,</w:t>
      </w:r>
      <w:proofErr w:type="gramEnd"/>
    </w:p>
    <w:p w:rsidR="00D162CA" w:rsidRDefault="00D162CA">
      <w:pPr>
        <w:pStyle w:val="ConsPlusNonformat"/>
      </w:pPr>
      <w:r>
        <w:t>регистрационный N 25975);</w:t>
      </w:r>
    </w:p>
    <w:p w:rsidR="00D162CA" w:rsidRDefault="00D162CA">
      <w:pPr>
        <w:pStyle w:val="ConsPlusNonformat"/>
      </w:pPr>
    </w:p>
    <w:p w:rsidR="00D162CA" w:rsidRDefault="00D162CA">
      <w:pPr>
        <w:pStyle w:val="ConsPlusNonformat"/>
      </w:pPr>
      <w:r>
        <w:t xml:space="preserve">    ДП i_k - доходность продаж, определяемая в соответствии с </w:t>
      </w:r>
      <w:proofErr w:type="gramStart"/>
      <w:r>
        <w:t>Методическими</w:t>
      </w:r>
      <w:proofErr w:type="gramEnd"/>
    </w:p>
    <w:p w:rsidR="00D162CA" w:rsidRDefault="00D162CA">
      <w:pPr>
        <w:pStyle w:val="ConsPlusNonformat"/>
      </w:pPr>
      <w:hyperlink r:id="rId10" w:history="1">
        <w:r>
          <w:rPr>
            <w:color w:val="0000FF"/>
          </w:rPr>
          <w:t>указаниями</w:t>
        </w:r>
      </w:hyperlink>
      <w:r>
        <w:t xml:space="preserve"> по расчету сбытовых надбавок гарантирующих поставщиков и размера</w:t>
      </w:r>
    </w:p>
    <w:p w:rsidR="00D162CA" w:rsidRDefault="00D162CA">
      <w:pPr>
        <w:pStyle w:val="ConsPlusNonformat"/>
      </w:pPr>
      <w:r>
        <w:t xml:space="preserve">доходности продаж гарантирующих  поставщиков,  </w:t>
      </w:r>
      <w:proofErr w:type="gramStart"/>
      <w:r>
        <w:t>утвержденными</w:t>
      </w:r>
      <w:proofErr w:type="gramEnd"/>
      <w:r>
        <w:t xml:space="preserve">  приказом  ФСТ</w:t>
      </w:r>
    </w:p>
    <w:p w:rsidR="00D162CA" w:rsidRDefault="00D162CA">
      <w:pPr>
        <w:pStyle w:val="ConsPlusNonformat"/>
      </w:pPr>
      <w:proofErr w:type="gramStart"/>
      <w:r>
        <w:t>России от 30.10.2012 N 703-э (зарегистрировано в Минюсте России 29.11.2012,</w:t>
      </w:r>
      <w:proofErr w:type="gramEnd"/>
    </w:p>
    <w:p w:rsidR="00D162CA" w:rsidRDefault="00D162CA">
      <w:pPr>
        <w:pStyle w:val="ConsPlusNonformat"/>
      </w:pPr>
      <w:proofErr w:type="gramStart"/>
      <w:r>
        <w:t>регистрационный</w:t>
      </w:r>
      <w:proofErr w:type="gramEnd"/>
      <w:r>
        <w:t xml:space="preserve"> N 25975), и  указанная  в  отношении  i-х  подгрупп  группы</w:t>
      </w:r>
    </w:p>
    <w:p w:rsidR="00D162CA" w:rsidRDefault="00D162CA">
      <w:pPr>
        <w:pStyle w:val="ConsPlusNonformat"/>
      </w:pPr>
      <w:r>
        <w:t xml:space="preserve">"прочие потребители" k-го ГП в </w:t>
      </w:r>
      <w:hyperlink w:anchor="Par190" w:history="1">
        <w:r>
          <w:rPr>
            <w:color w:val="0000FF"/>
          </w:rPr>
          <w:t>таблице</w:t>
        </w:r>
      </w:hyperlink>
      <w:r>
        <w:t>: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90"/>
      <w:bookmarkEnd w:id="7"/>
      <w:r>
        <w:rPr>
          <w:rFonts w:ascii="Courier New" w:hAnsi="Courier New" w:cs="Courier New"/>
          <w:sz w:val="20"/>
          <w:szCs w:val="20"/>
        </w:rPr>
        <w:t xml:space="preserve">│ N │   Наименование   │           Доходность продаж для группы "прочие потребители" (ДП) </w:t>
      </w:r>
      <w:hyperlink w:anchor="Par25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гарантирующего  ├───────────────────────────────────────────────────────────────────────────────┤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поставщика в   │  подгруппы потребителей с максимальной мощностью энергопринимающих устройств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│Республике Хакасия├───────────────────┬───────────────────┬───────────────────┬───────────────────┤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менее 150 кВт   │ от 150 до 670 кВт │ от 670 кВт до 10  │  не менее 10 МВт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  │                   │        МВт        │          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├───────────────────┼───────────────────┼───────────────────┼───────────────────┤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проценты      │     </w:t>
      </w:r>
      <w:proofErr w:type="gramStart"/>
      <w:r>
        <w:rPr>
          <w:rFonts w:ascii="Courier New" w:hAnsi="Courier New" w:cs="Courier New"/>
          <w:sz w:val="20"/>
          <w:szCs w:val="20"/>
        </w:rPr>
        <w:t>проценты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проценты      │     проценты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├─────────┬─────────┼─────────┬─────────┼─────────┬─────────┼─────────┬─────────┤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1    │    2    │    1    │    2    │    1    │    2    │    1    │    2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│полугодие│</w:t>
      </w:r>
      <w:proofErr w:type="gramStart"/>
      <w:r>
        <w:rPr>
          <w:rFonts w:ascii="Courier New" w:hAnsi="Courier New" w:cs="Courier New"/>
          <w:sz w:val="20"/>
          <w:szCs w:val="20"/>
        </w:rPr>
        <w:t>полугодие</w:t>
      </w:r>
      <w:proofErr w:type="gramEnd"/>
      <w:r>
        <w:rPr>
          <w:rFonts w:ascii="Courier New" w:hAnsi="Courier New" w:cs="Courier New"/>
          <w:sz w:val="20"/>
          <w:szCs w:val="20"/>
        </w:rPr>
        <w:t>│полугодие│полугодие│полугодие│полугодие│полугодие│полугодие│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 │    3    │    4    │    5    │    6    │    7    │    8    │    9    │   10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│ООО               │  25,68  │  26,44  │  24,18  │  24,9   │  15,35  │  15,81  │  8,21   │  8,45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│"Абаканэнергосбыт"│         │         │         │         │         │         │         │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│ООО               │  22,99  │  23,61  │  21,65  │  22,24  │  13,74  │  14,11  │  7,35   │  7,55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│"Русэнергосбыт"   │         │         │         │         │         │         │         │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│ОАО               │  22,96  │  23,6   │  21,63  │  22,23  │  13,73  │  14,11  │  7,34   │  7,54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│"Оборонэнергосбыт"│         │         │         │         │         │         │         │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│ОАО               │  23,5   │  25,03  │  22,13  │  23,56  │  14,04  │  14,95  │  7,57   │  8,07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│"Хакасэнергосбыт" │         │         │         │         │         │         │         │         │</w:t>
      </w:r>
    </w:p>
    <w:p w:rsidR="00D162CA" w:rsidRDefault="00D162C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2CA" w:rsidRDefault="00D162CA">
      <w:pPr>
        <w:pStyle w:val="ConsPlusNonformat"/>
      </w:pPr>
      <w:r>
        <w:t xml:space="preserve">     рег</w:t>
      </w:r>
    </w:p>
    <w:p w:rsidR="00D162CA" w:rsidRDefault="00D162CA">
      <w:pPr>
        <w:pStyle w:val="ConsPlusNonformat"/>
      </w:pPr>
      <w:r>
        <w:t xml:space="preserve">    К    - коэффициент   параметров   деятельности   ГП,   определяемый   </w:t>
      </w:r>
      <w:proofErr w:type="gramStart"/>
      <w:r>
        <w:t>в</w:t>
      </w:r>
      <w:proofErr w:type="gramEnd"/>
    </w:p>
    <w:p w:rsidR="00D162CA" w:rsidRDefault="00D162CA">
      <w:pPr>
        <w:pStyle w:val="ConsPlusNonformat"/>
      </w:pPr>
      <w:r>
        <w:t xml:space="preserve">     k</w:t>
      </w:r>
    </w:p>
    <w:p w:rsidR="00D162CA" w:rsidRDefault="00D162CA">
      <w:pPr>
        <w:pStyle w:val="ConsPlusNonformat"/>
      </w:pPr>
      <w:proofErr w:type="gramStart"/>
      <w:r>
        <w:t>соответствии</w:t>
      </w:r>
      <w:proofErr w:type="gramEnd"/>
      <w:r>
        <w:t xml:space="preserve">  с  Методическими  </w:t>
      </w:r>
      <w:hyperlink r:id="rId11" w:history="1">
        <w:r>
          <w:rPr>
            <w:color w:val="0000FF"/>
          </w:rPr>
          <w:t>указаниями</w:t>
        </w:r>
      </w:hyperlink>
      <w:r>
        <w:t xml:space="preserve">  по  расчету  сбытовых  надбавок</w:t>
      </w:r>
    </w:p>
    <w:p w:rsidR="00D162CA" w:rsidRDefault="00D162CA">
      <w:pPr>
        <w:pStyle w:val="ConsPlusNonformat"/>
      </w:pPr>
      <w:r>
        <w:lastRenderedPageBreak/>
        <w:t>гарантирующих   поставщиков   и  размера  доходности  продаж  гарантирующих</w:t>
      </w:r>
    </w:p>
    <w:p w:rsidR="00D162CA" w:rsidRDefault="00D162CA">
      <w:pPr>
        <w:pStyle w:val="ConsPlusNonformat"/>
      </w:pPr>
      <w:r>
        <w:t xml:space="preserve">поставщиков,   </w:t>
      </w:r>
      <w:proofErr w:type="gramStart"/>
      <w:r>
        <w:t>утвержденными</w:t>
      </w:r>
      <w:proofErr w:type="gramEnd"/>
      <w:r>
        <w:t xml:space="preserve">  приказом  ФСТ  России  от  30.10.2012 N 703-э</w:t>
      </w:r>
    </w:p>
    <w:p w:rsidR="00D162CA" w:rsidRDefault="00D162CA">
      <w:pPr>
        <w:pStyle w:val="ConsPlusNonformat"/>
      </w:pPr>
      <w:r>
        <w:t xml:space="preserve">(зарегистрировано  в Минюсте России 29.11.2012, </w:t>
      </w:r>
      <w:proofErr w:type="gramStart"/>
      <w:r>
        <w:t>регистрационный</w:t>
      </w:r>
      <w:proofErr w:type="gramEnd"/>
      <w:r>
        <w:t xml:space="preserve"> N 25975), и</w:t>
      </w:r>
    </w:p>
    <w:p w:rsidR="00D162CA" w:rsidRDefault="00D162CA">
      <w:pPr>
        <w:pStyle w:val="ConsPlusNonformat"/>
      </w:pPr>
      <w:proofErr w:type="gramStart"/>
      <w:r>
        <w:t>указанный</w:t>
      </w:r>
      <w:proofErr w:type="gramEnd"/>
      <w:r>
        <w:t xml:space="preserve"> в отношении группы "прочие потребители" k-го ГП в </w:t>
      </w:r>
      <w:hyperlink w:anchor="Par226" w:history="1">
        <w:r>
          <w:rPr>
            <w:color w:val="0000FF"/>
          </w:rPr>
          <w:t>таблице</w:t>
        </w:r>
      </w:hyperlink>
      <w:r>
        <w:t>: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3118"/>
        <w:gridCol w:w="2778"/>
      </w:tblGrid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226"/>
            <w:bookmarkEnd w:id="8"/>
            <w:r>
              <w:rPr>
                <w:rFonts w:ascii="Calibri" w:hAnsi="Calibri" w:cs="Calibri"/>
              </w:rPr>
              <w:t>N</w:t>
            </w:r>
          </w:p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</w:t>
            </w:r>
          </w:p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Республике Хакасия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параметров</w:t>
            </w:r>
          </w:p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деятельности гарантирующего поставщика</w:t>
            </w:r>
          </w:p>
          <w:p w:rsidR="00D162CA" w:rsidRDefault="00D162CA">
            <w:pPr>
              <w:pStyle w:val="ConsPlusNonformat"/>
            </w:pPr>
            <w:r>
              <w:t xml:space="preserve">                 рег</w:t>
            </w:r>
          </w:p>
          <w:p w:rsidR="00D162CA" w:rsidRDefault="00D162CA">
            <w:pPr>
              <w:pStyle w:val="ConsPlusNonformat"/>
            </w:pPr>
            <w:r>
              <w:t xml:space="preserve">               (К</w:t>
            </w:r>
            <w:proofErr w:type="gramStart"/>
            <w:r>
              <w:t xml:space="preserve">   )</w:t>
            </w:r>
            <w:proofErr w:type="gramEnd"/>
            <w:r>
              <w:t xml:space="preserve"> </w:t>
            </w:r>
            <w:hyperlink w:anchor="Par2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"Абаканэнергосбыт"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"Оборонэнергосбыт"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5,78</w:t>
            </w:r>
          </w:p>
        </w:tc>
      </w:tr>
      <w:tr w:rsidR="00D162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"Хакасэнергосбыт"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A" w:rsidRDefault="00D1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</w:tr>
    </w:tbl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58"/>
      <w:bookmarkEnd w:id="9"/>
      <w:r>
        <w:rPr>
          <w:rFonts w:ascii="Calibri" w:hAnsi="Calibri" w:cs="Calibri"/>
        </w:rPr>
        <w:t>&lt;1&gt; Данные значения указываются в формуле.</w:t>
      </w: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2CA" w:rsidRDefault="00D1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2CA" w:rsidRDefault="00D162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62CA" w:rsidRDefault="00D162CA">
      <w:bookmarkStart w:id="10" w:name="_GoBack"/>
      <w:bookmarkEnd w:id="10"/>
    </w:p>
    <w:sectPr w:rsidR="00D162C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CA"/>
    <w:rsid w:val="00D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62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62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F4F3F17E7C63222F1C80C5C182B53D5A612C7D08BBDD477CDA316A867FF898BE9039C2B25A8988BAB73G4F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CF4F3F17E7C63222F1D6014A747456DCA848CFD18DBF832A92F84BFFG6FE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F4F3F17E7C63222F1D6014A747456DCA84BC9D685BF832A92F84BFF6EF5DECCA65ADDG6FEI" TargetMode="External"/><Relationship Id="rId11" Type="http://schemas.openxmlformats.org/officeDocument/2006/relationships/hyperlink" Target="consultantplus://offline/ref=56CF4F3F17E7C63222F1D6014A747456DCAE44CCD184BF832A92F84BFF6EF5DECCA65ADE6F28A999G8F8I" TargetMode="External"/><Relationship Id="rId5" Type="http://schemas.openxmlformats.org/officeDocument/2006/relationships/hyperlink" Target="consultantplus://offline/ref=56CF4F3F17E7C63222F1D6014A747456DCA848C2D58CBF832A92F84BFFG6FEI" TargetMode="External"/><Relationship Id="rId10" Type="http://schemas.openxmlformats.org/officeDocument/2006/relationships/hyperlink" Target="consultantplus://offline/ref=56CF4F3F17E7C63222F1D6014A747456DCAE44CCD184BF832A92F84BFF6EF5DECCA65ADE6F28A999G8F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CF4F3F17E7C63222F1D6014A747456DCAE44CCD184BF832A92F84BFF6EF5DECCA65ADE6F28A991G8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2014-02-17T08:05:00Z</dcterms:created>
  <dcterms:modified xsi:type="dcterms:W3CDTF">2014-02-17T08:06:00Z</dcterms:modified>
</cp:coreProperties>
</file>