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EF" w:rsidRDefault="00F4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FEF" w:rsidRDefault="00F42FEF">
      <w:pPr>
        <w:pStyle w:val="ConsPlusTitle"/>
        <w:widowControl/>
        <w:jc w:val="center"/>
        <w:outlineLvl w:val="0"/>
      </w:pPr>
      <w:r>
        <w:t>ПРАВИТЕЛЬСТВО САНКТ-ПЕТЕРБУРГА</w:t>
      </w:r>
    </w:p>
    <w:p w:rsidR="00F42FEF" w:rsidRDefault="00F42FEF">
      <w:pPr>
        <w:pStyle w:val="ConsPlusTitle"/>
        <w:widowControl/>
        <w:jc w:val="center"/>
      </w:pPr>
    </w:p>
    <w:p w:rsidR="00F42FEF" w:rsidRDefault="00F42FEF">
      <w:pPr>
        <w:pStyle w:val="ConsPlusTitle"/>
        <w:widowControl/>
        <w:jc w:val="center"/>
      </w:pPr>
      <w:r>
        <w:t>КОМИТЕТ ПО ТАРИФАМ САНКТ-ПЕТЕРБУРГА</w:t>
      </w:r>
    </w:p>
    <w:p w:rsidR="00F42FEF" w:rsidRDefault="00F42FEF">
      <w:pPr>
        <w:pStyle w:val="ConsPlusTitle"/>
        <w:widowControl/>
        <w:jc w:val="center"/>
      </w:pPr>
    </w:p>
    <w:p w:rsidR="00F42FEF" w:rsidRDefault="00F42FEF">
      <w:pPr>
        <w:pStyle w:val="ConsPlusTitle"/>
        <w:widowControl/>
        <w:jc w:val="center"/>
      </w:pPr>
      <w:r>
        <w:t>РАСПОРЯЖЕНИЕ</w:t>
      </w:r>
    </w:p>
    <w:p w:rsidR="00F42FEF" w:rsidRDefault="00F42FEF">
      <w:pPr>
        <w:pStyle w:val="ConsPlusTitle"/>
        <w:widowControl/>
        <w:jc w:val="center"/>
      </w:pPr>
      <w:r>
        <w:t>от 14 декабря 2011 г. N 434-р</w:t>
      </w:r>
    </w:p>
    <w:p w:rsidR="00F42FEF" w:rsidRDefault="00F42FEF">
      <w:pPr>
        <w:pStyle w:val="ConsPlusTitle"/>
        <w:widowControl/>
        <w:jc w:val="center"/>
      </w:pPr>
    </w:p>
    <w:p w:rsidR="00F42FEF" w:rsidRDefault="00F42FEF">
      <w:pPr>
        <w:pStyle w:val="ConsPlusTitle"/>
        <w:widowControl/>
        <w:jc w:val="center"/>
      </w:pPr>
      <w:r>
        <w:t>ОБ УСТАНОВЛЕНИИ ТАРИФОВ НА ЭЛЕКТРИЧЕСКУЮ ЭНЕРГИЮ</w:t>
      </w:r>
    </w:p>
    <w:p w:rsidR="00F42FEF" w:rsidRDefault="00F42FEF">
      <w:pPr>
        <w:pStyle w:val="ConsPlusTitle"/>
        <w:widowControl/>
        <w:jc w:val="center"/>
      </w:pPr>
      <w:r>
        <w:t>ДЛЯ НАСЕЛЕНИЯ И ПРИРАВНЕННЫМ К НЕМУ КАТЕГОРИЯМ ПОТРЕБИТЕЛЕЙ</w:t>
      </w:r>
    </w:p>
    <w:p w:rsidR="00F42FEF" w:rsidRDefault="00F42FEF">
      <w:pPr>
        <w:pStyle w:val="ConsPlusTitle"/>
        <w:widowControl/>
        <w:jc w:val="center"/>
      </w:pPr>
      <w:r>
        <w:t>ПО САНКТ-ПЕТЕРБУРГУ НА 2012 ГОД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35-Ф3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</w:t>
      </w:r>
      <w:proofErr w:type="gramEnd"/>
      <w:r>
        <w:rPr>
          <w:rFonts w:ascii="Calibri" w:hAnsi="Calibri" w:cs="Calibri"/>
        </w:rPr>
        <w:t xml:space="preserve"> 08.04.2005 N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ФСТ России от 06.10.2011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14.12.2011 N 1026:</w:t>
      </w:r>
      <w:proofErr w:type="gramEnd"/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тарифы на электрическую энергию для населения и приравненным к нему категориям потребителей по Санкт-Петербургу на 2012 год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01.01.2012 по 31.12.2012 с календарной разбивкой.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01.01.2012, но не ранее чем через 10 дней после дня его официального опубликования.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14.12.2011 N 434-р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FEF" w:rsidRDefault="00F42FEF">
      <w:pPr>
        <w:pStyle w:val="ConsPlusTitle"/>
        <w:widowControl/>
        <w:jc w:val="center"/>
      </w:pPr>
      <w:r>
        <w:t>ТАРИФЫ</w:t>
      </w:r>
    </w:p>
    <w:p w:rsidR="00F42FEF" w:rsidRDefault="00F42FEF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</w:p>
    <w:p w:rsidR="00F42FEF" w:rsidRDefault="00F42FEF">
      <w:pPr>
        <w:pStyle w:val="ConsPlusTitle"/>
        <w:widowControl/>
        <w:jc w:val="center"/>
      </w:pPr>
      <w:r>
        <w:t>К НЕМУ КАТЕГОРИЯМ ПОТРЕБИТЕЛЕЙ ПО САНКТ-ПЕТЕРБУРГУ</w:t>
      </w:r>
    </w:p>
    <w:p w:rsidR="00F42FEF" w:rsidRDefault="00F42FEF">
      <w:pPr>
        <w:pStyle w:val="ConsPlusTitle"/>
        <w:widowControl/>
        <w:jc w:val="center"/>
      </w:pPr>
      <w:r>
        <w:t>НА 2012 ГОД (НА ПЕРИОД С 01.01.2012 ПО 30.06.2012)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1755"/>
        <w:gridCol w:w="1215"/>
      </w:tblGrid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разбивкой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дифференциацией по зонам суток)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пункте 1.2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2,80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2,81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1,71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Тариф, дифференцированный по трем зонам суток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или) электроотопительными установками      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1,96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2,80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2,81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1,71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</w:tbl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для </w:t>
      </w:r>
      <w:hyperlink r:id="rId14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потребителям </w:t>
      </w:r>
      <w:hyperlink r:id="rId16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</w:r>
      <w:r>
        <w:rPr>
          <w:rFonts w:ascii="Calibri" w:hAnsi="Calibri" w:cs="Calibri"/>
        </w:rPr>
        <w:lastRenderedPageBreak/>
        <w:t xml:space="preserve">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r:id="rId17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распространяются на электрическую энергию, соответствующую </w:t>
      </w:r>
      <w:proofErr w:type="spellStart"/>
      <w:r>
        <w:rPr>
          <w:rFonts w:ascii="Calibri" w:hAnsi="Calibri" w:cs="Calibri"/>
        </w:rPr>
        <w:t>ГОСТу</w:t>
      </w:r>
      <w:proofErr w:type="spellEnd"/>
      <w:r>
        <w:rPr>
          <w:rFonts w:ascii="Calibri" w:hAnsi="Calibri" w:cs="Calibri"/>
        </w:rPr>
        <w:t xml:space="preserve"> 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(ОЭС) России устанавливаются ФСТ России.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14.12.2011 N 434-р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2FEF" w:rsidRDefault="00F42FEF">
      <w:pPr>
        <w:pStyle w:val="ConsPlusTitle"/>
        <w:widowControl/>
        <w:jc w:val="center"/>
      </w:pPr>
      <w:r>
        <w:t>ТАРИФЫ</w:t>
      </w:r>
    </w:p>
    <w:p w:rsidR="00F42FEF" w:rsidRDefault="00F42FEF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</w:p>
    <w:p w:rsidR="00F42FEF" w:rsidRDefault="00F42FEF">
      <w:pPr>
        <w:pStyle w:val="ConsPlusTitle"/>
        <w:widowControl/>
        <w:jc w:val="center"/>
      </w:pPr>
      <w:r>
        <w:t>К НЕМУ КАТЕГОРИЯМ ПОТРЕБИТЕЛЕЙ ПО САНКТ-ПЕТЕРБУРГУ</w:t>
      </w:r>
    </w:p>
    <w:p w:rsidR="00F42FEF" w:rsidRDefault="00F42FEF">
      <w:pPr>
        <w:pStyle w:val="ConsPlusTitle"/>
        <w:widowControl/>
        <w:jc w:val="center"/>
      </w:pPr>
      <w:r>
        <w:t>НА 2012 ГОД (НА ПЕРИОД С 01.07.2012 ПО 31.12.2012)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994"/>
        <w:gridCol w:w="1755"/>
        <w:gridCol w:w="1215"/>
      </w:tblGrid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разбивкой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дифференциацией по зонам суток)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пункте 1.2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2,97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2,98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1,81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или) электроотопительными установками      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2,08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1,27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2,97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2,98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1,81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8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  <w:tr w:rsidR="00F42FEF" w:rsidTr="00F42FE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FEF" w:rsidRDefault="00F42F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</w:tr>
    </w:tbl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для </w:t>
      </w:r>
      <w:hyperlink r:id="rId18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потребителям </w:t>
      </w:r>
      <w:hyperlink r:id="rId20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относятся потребители: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r:id="rId21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Тарифы распространяются на электрическую энергию, соответствующую </w:t>
      </w:r>
      <w:proofErr w:type="spellStart"/>
      <w:r>
        <w:rPr>
          <w:rFonts w:ascii="Calibri" w:hAnsi="Calibri" w:cs="Calibri"/>
        </w:rPr>
        <w:t>ГОСТу</w:t>
      </w:r>
      <w:proofErr w:type="spellEnd"/>
      <w:r>
        <w:rPr>
          <w:rFonts w:ascii="Calibri" w:hAnsi="Calibri" w:cs="Calibri"/>
        </w:rPr>
        <w:t xml:space="preserve"> 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Интервалы тарифных зон суток по </w:t>
      </w:r>
      <w:proofErr w:type="spellStart"/>
      <w:r>
        <w:rPr>
          <w:rFonts w:ascii="Calibri" w:hAnsi="Calibri" w:cs="Calibri"/>
        </w:rPr>
        <w:t>энергозонам</w:t>
      </w:r>
      <w:proofErr w:type="spellEnd"/>
      <w:r>
        <w:rPr>
          <w:rFonts w:ascii="Calibri" w:hAnsi="Calibri" w:cs="Calibri"/>
        </w:rPr>
        <w:t xml:space="preserve"> (ОЭС) России устанавливаются ФСТ России.</w:t>
      </w:r>
    </w:p>
    <w:p w:rsidR="00F42FEF" w:rsidRDefault="00F4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42FEF" w:rsidSect="00F42FE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EF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21550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030C7"/>
    <w:rsid w:val="004168BB"/>
    <w:rsid w:val="00416C93"/>
    <w:rsid w:val="004238F5"/>
    <w:rsid w:val="004322FF"/>
    <w:rsid w:val="00434573"/>
    <w:rsid w:val="0044623F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304C3"/>
    <w:rsid w:val="00F36C6A"/>
    <w:rsid w:val="00F42FEF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2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B3E43FE710B7B2828CCF2873C26024C888D18Di2H2M" TargetMode="External"/><Relationship Id="rId13" Type="http://schemas.openxmlformats.org/officeDocument/2006/relationships/hyperlink" Target="consultantplus://offline/ref=7F6BCEC0B91C5957900CACF52AE710B7B28282C32374C26024C888D18D22F338B2630DF8A48DCE67i5H0M" TargetMode="External"/><Relationship Id="rId18" Type="http://schemas.openxmlformats.org/officeDocument/2006/relationships/hyperlink" Target="consultantplus://offline/ref=7F6BCEC0B91C5957900CACF52AE710B7B28282C32374C26024C888D18D22F338B2630DF8A48DCE61i5H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6BCEC0B91C5957900CACF52AE710B7B28282C32374C26024C888D18D22F338B2630DF8A48DCE60i5H6M" TargetMode="External"/><Relationship Id="rId7" Type="http://schemas.openxmlformats.org/officeDocument/2006/relationships/hyperlink" Target="consultantplus://offline/ref=7F6BCEC0B91C5957900CB3E43FE710B7B28283C72F77C26024C888D18Di2H2M" TargetMode="External"/><Relationship Id="rId12" Type="http://schemas.openxmlformats.org/officeDocument/2006/relationships/hyperlink" Target="consultantplus://offline/ref=7F6BCEC0B91C5957900CACF52AE710B7B28282C32374C26024C888D18D22F338B2630DF8A48DCE62i5H1M" TargetMode="External"/><Relationship Id="rId17" Type="http://schemas.openxmlformats.org/officeDocument/2006/relationships/hyperlink" Target="consultantplus://offline/ref=7F6BCEC0B91C5957900CACF52AE710B7B28282C32374C26024C888D18D22F338B2630DF8A48DCE65i5H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BCEC0B91C5957900CACF52AE710B7B28282C32374C26024C888D18D22F338B2630DF8A48DCE64i5H5M" TargetMode="External"/><Relationship Id="rId20" Type="http://schemas.openxmlformats.org/officeDocument/2006/relationships/hyperlink" Target="consultantplus://offline/ref=7F6BCEC0B91C5957900CACF52AE710B7B28282C32374C26024C888D18D22F338B2630DF8A48DCE60i5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BCEC0B91C5957900CB3E43FE710B7B2818EC22F72C26024C888D18Di2H2M" TargetMode="External"/><Relationship Id="rId11" Type="http://schemas.openxmlformats.org/officeDocument/2006/relationships/hyperlink" Target="consultantplus://offline/ref=7F6BCEC0B91C5957900CACF52AE710B7B28282C32374C26024C888D18D22F338B2630DF8A48DCE66i5H7M" TargetMode="External"/><Relationship Id="rId5" Type="http://schemas.openxmlformats.org/officeDocument/2006/relationships/hyperlink" Target="consultantplus://offline/ref=7F6BCEC0B91C5957900CB3E43FE710B7B2828CCF297FC26024C888D18D22F338B2630DFBiAH6M" TargetMode="External"/><Relationship Id="rId15" Type="http://schemas.openxmlformats.org/officeDocument/2006/relationships/hyperlink" Target="consultantplus://offline/ref=7F6BCEC0B91C5957900CACF52AE710B7B28282C32374C26024C888D18D22F338B2630DF8A48DCE65i5H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6BCEC0B91C5957900CACF52AE710B7B2828CC52B70C26024C888D18D22F338B2630DF8A48DCE64i5H5M" TargetMode="External"/><Relationship Id="rId19" Type="http://schemas.openxmlformats.org/officeDocument/2006/relationships/hyperlink" Target="consultantplus://offline/ref=7F6BCEC0B91C5957900CACF52AE710B7B28282C32374C26024C888D18D22F338B2630DF8A48DCE60i5H6M" TargetMode="External"/><Relationship Id="rId4" Type="http://schemas.openxmlformats.org/officeDocument/2006/relationships/hyperlink" Target="consultantplus://offline/ref=7F6BCEC0B91C5957900CB3E43FE710B7B28189C6297FC26024C888D18Di2H2M" TargetMode="External"/><Relationship Id="rId9" Type="http://schemas.openxmlformats.org/officeDocument/2006/relationships/hyperlink" Target="consultantplus://offline/ref=7F6BCEC0B91C5957900CB3E43FE710B7B2818AC22A73C26024C888D18Di2H2M" TargetMode="External"/><Relationship Id="rId14" Type="http://schemas.openxmlformats.org/officeDocument/2006/relationships/hyperlink" Target="consultantplus://offline/ref=7F6BCEC0B91C5957900CACF52AE710B7B28282C32374C26024C888D18D22F338B2630DF8A48DCE66i5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2012-01-16T12:07:00Z</dcterms:created>
  <dcterms:modified xsi:type="dcterms:W3CDTF">2012-01-16T12:10:00Z</dcterms:modified>
</cp:coreProperties>
</file>