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14" w:rsidRDefault="0038381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3814" w:rsidRDefault="00383814">
      <w:pPr>
        <w:pStyle w:val="ConsPlusNormal"/>
        <w:outlineLvl w:val="0"/>
      </w:pPr>
    </w:p>
    <w:p w:rsidR="00383814" w:rsidRDefault="00383814">
      <w:pPr>
        <w:pStyle w:val="ConsPlusTitle"/>
        <w:jc w:val="center"/>
        <w:outlineLvl w:val="0"/>
      </w:pPr>
      <w:r>
        <w:t>ПРАВИТЕЛЬСТВО САНКТ-ПЕТЕРБУРГА</w:t>
      </w:r>
    </w:p>
    <w:p w:rsidR="00383814" w:rsidRDefault="00383814">
      <w:pPr>
        <w:pStyle w:val="ConsPlusTitle"/>
        <w:jc w:val="center"/>
      </w:pPr>
    </w:p>
    <w:p w:rsidR="00383814" w:rsidRDefault="00383814">
      <w:pPr>
        <w:pStyle w:val="ConsPlusTitle"/>
        <w:jc w:val="center"/>
      </w:pPr>
      <w:r>
        <w:t>КОМИТЕТ ПО ТАРИФАМ САНКТ-ПЕТЕРБУРГА</w:t>
      </w:r>
    </w:p>
    <w:p w:rsidR="00383814" w:rsidRDefault="00383814">
      <w:pPr>
        <w:pStyle w:val="ConsPlusTitle"/>
        <w:jc w:val="center"/>
      </w:pPr>
    </w:p>
    <w:p w:rsidR="00383814" w:rsidRDefault="00383814">
      <w:pPr>
        <w:pStyle w:val="ConsPlusTitle"/>
        <w:jc w:val="center"/>
      </w:pPr>
      <w:r>
        <w:t>РАСПОРЯЖЕНИЕ</w:t>
      </w:r>
    </w:p>
    <w:p w:rsidR="00383814" w:rsidRDefault="00383814">
      <w:pPr>
        <w:pStyle w:val="ConsPlusTitle"/>
        <w:jc w:val="center"/>
      </w:pPr>
      <w:r>
        <w:t>от 28 декабря 2023 г. N 283-р</w:t>
      </w:r>
    </w:p>
    <w:p w:rsidR="00383814" w:rsidRDefault="00383814">
      <w:pPr>
        <w:pStyle w:val="ConsPlusTitle"/>
        <w:jc w:val="center"/>
      </w:pPr>
    </w:p>
    <w:p w:rsidR="00383814" w:rsidRDefault="00383814">
      <w:pPr>
        <w:pStyle w:val="ConsPlusTitle"/>
        <w:jc w:val="center"/>
      </w:pPr>
      <w:r>
        <w:t>О ВНЕСЕНИИ ИЗМЕНЕНИЯ В РАСПОРЯЖЕНИЕ КОМИТЕТА ПО ТАРИФАМ</w:t>
      </w:r>
    </w:p>
    <w:p w:rsidR="00383814" w:rsidRDefault="00383814">
      <w:pPr>
        <w:pStyle w:val="ConsPlusTitle"/>
        <w:jc w:val="center"/>
      </w:pPr>
      <w:r>
        <w:t>САНКТ-ПЕТЕРБУРГА ОТ 29.11.2023 N 197-Р</w:t>
      </w:r>
    </w:p>
    <w:p w:rsidR="00383814" w:rsidRDefault="00383814">
      <w:pPr>
        <w:pStyle w:val="ConsPlusNormal"/>
        <w:ind w:firstLine="540"/>
        <w:jc w:val="both"/>
      </w:pPr>
    </w:p>
    <w:p w:rsidR="00383814" w:rsidRDefault="003838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27.05.2022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9">
        <w:r>
          <w:rPr>
            <w:color w:val="0000FF"/>
          </w:rPr>
          <w:t>приказом</w:t>
        </w:r>
      </w:hyperlink>
      <w:r>
        <w:t xml:space="preserve"> ФАС России от 12.10.2023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отчетом ФАС России о наблюдении за соблюдением обязательных требований от 18.12.2023 N 21-33884-С/23,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28.12.2023 N 290:</w:t>
      </w:r>
    </w:p>
    <w:p w:rsidR="00383814" w:rsidRDefault="00383814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29.11.2023 N 197-р "Об установлении тарифов на электрическую энергию, поставляемую населению и приравненным к нему категориям потребителей, по Санкт-Петербургу на 2024 год", изложив </w:t>
      </w:r>
      <w:hyperlink r:id="rId12">
        <w:r>
          <w:rPr>
            <w:color w:val="0000FF"/>
          </w:rPr>
          <w:t>приложение</w:t>
        </w:r>
      </w:hyperlink>
      <w:r>
        <w:t xml:space="preserve"> к распоряжению в редакции согласно </w:t>
      </w:r>
      <w:hyperlink w:anchor="P28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383814" w:rsidRDefault="00383814">
      <w:pPr>
        <w:pStyle w:val="ConsPlusNormal"/>
        <w:spacing w:before="220"/>
        <w:ind w:firstLine="540"/>
        <w:jc w:val="both"/>
      </w:pPr>
      <w:r>
        <w:t>2. Распоряжение вступает в силу с 01.01.2024, но не ранее дня его официального опубликования.</w:t>
      </w:r>
    </w:p>
    <w:p w:rsidR="00383814" w:rsidRDefault="00383814">
      <w:pPr>
        <w:pStyle w:val="ConsPlusNormal"/>
        <w:ind w:firstLine="540"/>
        <w:jc w:val="both"/>
      </w:pPr>
    </w:p>
    <w:p w:rsidR="00383814" w:rsidRDefault="00383814">
      <w:pPr>
        <w:pStyle w:val="ConsPlusNormal"/>
        <w:jc w:val="right"/>
      </w:pPr>
      <w:r>
        <w:t>Председатель Комитета</w:t>
      </w:r>
    </w:p>
    <w:p w:rsidR="00383814" w:rsidRDefault="00383814">
      <w:pPr>
        <w:pStyle w:val="ConsPlusNormal"/>
        <w:jc w:val="right"/>
      </w:pPr>
      <w:r>
        <w:t>А.Г.Малухин</w:t>
      </w:r>
    </w:p>
    <w:p w:rsidR="00383814" w:rsidRDefault="00383814">
      <w:pPr>
        <w:pStyle w:val="ConsPlusNormal"/>
      </w:pPr>
    </w:p>
    <w:p w:rsidR="00383814" w:rsidRDefault="00383814">
      <w:pPr>
        <w:pStyle w:val="ConsPlusNormal"/>
      </w:pPr>
    </w:p>
    <w:p w:rsidR="00383814" w:rsidRDefault="00383814">
      <w:pPr>
        <w:pStyle w:val="ConsPlusNormal"/>
      </w:pPr>
    </w:p>
    <w:p w:rsidR="00383814" w:rsidRDefault="00383814">
      <w:pPr>
        <w:pStyle w:val="ConsPlusNormal"/>
      </w:pPr>
    </w:p>
    <w:p w:rsidR="00383814" w:rsidRDefault="00383814">
      <w:pPr>
        <w:pStyle w:val="ConsPlusNormal"/>
      </w:pPr>
    </w:p>
    <w:p w:rsidR="00383814" w:rsidRDefault="00383814">
      <w:pPr>
        <w:pStyle w:val="ConsPlusNormal"/>
        <w:jc w:val="right"/>
        <w:outlineLvl w:val="0"/>
      </w:pPr>
      <w:r>
        <w:t>ПРИЛОЖЕНИЕ</w:t>
      </w:r>
    </w:p>
    <w:p w:rsidR="00383814" w:rsidRDefault="00383814">
      <w:pPr>
        <w:pStyle w:val="ConsPlusNormal"/>
        <w:jc w:val="right"/>
      </w:pPr>
      <w:r>
        <w:t>к распоряжению</w:t>
      </w:r>
    </w:p>
    <w:p w:rsidR="00383814" w:rsidRDefault="00383814">
      <w:pPr>
        <w:pStyle w:val="ConsPlusNormal"/>
        <w:jc w:val="right"/>
      </w:pPr>
      <w:r>
        <w:t>Комитета по тарифам</w:t>
      </w:r>
    </w:p>
    <w:p w:rsidR="00383814" w:rsidRDefault="00383814">
      <w:pPr>
        <w:pStyle w:val="ConsPlusNormal"/>
        <w:jc w:val="right"/>
      </w:pPr>
      <w:r>
        <w:t>Санкт-Петербурга</w:t>
      </w:r>
    </w:p>
    <w:p w:rsidR="00383814" w:rsidRDefault="00383814">
      <w:pPr>
        <w:pStyle w:val="ConsPlusNormal"/>
        <w:jc w:val="right"/>
      </w:pPr>
      <w:r>
        <w:t>от 28.12.2023 N 283-р</w:t>
      </w:r>
    </w:p>
    <w:p w:rsidR="00383814" w:rsidRDefault="00383814">
      <w:pPr>
        <w:pStyle w:val="ConsPlusNormal"/>
      </w:pPr>
    </w:p>
    <w:p w:rsidR="00383814" w:rsidRDefault="00383814">
      <w:pPr>
        <w:pStyle w:val="ConsPlusTitle"/>
        <w:jc w:val="center"/>
      </w:pPr>
      <w:bookmarkStart w:id="1" w:name="P28"/>
      <w:bookmarkEnd w:id="1"/>
      <w:r>
        <w:t>ЦЕНЫ (ТАРИФЫ)</w:t>
      </w:r>
    </w:p>
    <w:p w:rsidR="00383814" w:rsidRDefault="00383814">
      <w:pPr>
        <w:pStyle w:val="ConsPlusTitle"/>
        <w:jc w:val="center"/>
      </w:pPr>
      <w:r>
        <w:lastRenderedPageBreak/>
        <w:t>НА ЭЛЕКТРИЧЕСКУЮ ЭНЕРГИЮ ДЛЯ НАСЕЛЕНИЯ</w:t>
      </w:r>
    </w:p>
    <w:p w:rsidR="00383814" w:rsidRDefault="00383814">
      <w:pPr>
        <w:pStyle w:val="ConsPlusTitle"/>
        <w:jc w:val="center"/>
      </w:pPr>
      <w:r>
        <w:t>И ПРИРАВНЕННЫХ К НЕМУ КАТЕГОРИЙ ПОТРЕБИТЕЛЕЙ</w:t>
      </w:r>
    </w:p>
    <w:p w:rsidR="00383814" w:rsidRDefault="00383814">
      <w:pPr>
        <w:pStyle w:val="ConsPlusTitle"/>
        <w:jc w:val="center"/>
      </w:pPr>
      <w:r>
        <w:t>ПО САНКТ-ПЕТЕРБУРГУ НА 2024 ГОД</w:t>
      </w:r>
    </w:p>
    <w:p w:rsidR="00383814" w:rsidRDefault="00383814">
      <w:pPr>
        <w:pStyle w:val="ConsPlusNormal"/>
      </w:pPr>
    </w:p>
    <w:p w:rsidR="00383814" w:rsidRDefault="00383814">
      <w:pPr>
        <w:pStyle w:val="ConsPlusNormal"/>
        <w:sectPr w:rsidR="00383814" w:rsidSect="009F01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4"/>
        <w:gridCol w:w="1700"/>
        <w:gridCol w:w="1700"/>
        <w:gridCol w:w="1700"/>
        <w:gridCol w:w="1700"/>
        <w:gridCol w:w="1700"/>
        <w:gridCol w:w="1700"/>
      </w:tblGrid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4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10200" w:type="dxa"/>
            <w:gridSpan w:val="6"/>
          </w:tcPr>
          <w:p w:rsidR="00383814" w:rsidRDefault="00383814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5100" w:type="dxa"/>
            <w:gridSpan w:val="3"/>
          </w:tcPr>
          <w:p w:rsidR="00383814" w:rsidRDefault="0038381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100" w:type="dxa"/>
            <w:gridSpan w:val="3"/>
          </w:tcPr>
          <w:p w:rsidR="00383814" w:rsidRDefault="0038381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8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0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260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383814" w:rsidRDefault="0038381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11,39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12,39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bookmarkStart w:id="2" w:name="P104"/>
            <w:bookmarkEnd w:id="2"/>
            <w:r>
              <w:t>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83814" w:rsidRDefault="0038381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7,49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8,54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4,67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9,29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7,49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4,67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83814" w:rsidRDefault="0038381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7,49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8,54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4,67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9,29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7,49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4,67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83814" w:rsidRDefault="0038381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7,49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8,54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4,67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9,29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7,49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4,67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bookmarkStart w:id="3" w:name="P260"/>
            <w:bookmarkEnd w:id="3"/>
            <w:r>
              <w:t>5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83814" w:rsidRDefault="0038381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83814" w:rsidRDefault="00383814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11,39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12,39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11,39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12,39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11,39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6.3.3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12,39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11,39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12,39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11,39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12,39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83814" w:rsidRDefault="00383814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83814">
        <w:tc>
          <w:tcPr>
            <w:tcW w:w="737" w:type="dxa"/>
          </w:tcPr>
          <w:p w:rsidR="00383814" w:rsidRDefault="00383814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11,39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  <w:tr w:rsidR="00383814">
        <w:tc>
          <w:tcPr>
            <w:tcW w:w="737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12864" w:type="dxa"/>
            <w:gridSpan w:val="7"/>
          </w:tcPr>
          <w:p w:rsidR="00383814" w:rsidRDefault="00383814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12,39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9,98</w:t>
            </w:r>
          </w:p>
        </w:tc>
      </w:tr>
      <w:tr w:rsidR="00383814">
        <w:tc>
          <w:tcPr>
            <w:tcW w:w="737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2664" w:type="dxa"/>
          </w:tcPr>
          <w:p w:rsidR="00383814" w:rsidRDefault="00383814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6,23</w:t>
            </w:r>
          </w:p>
        </w:tc>
      </w:tr>
    </w:tbl>
    <w:p w:rsidR="00383814" w:rsidRDefault="00383814">
      <w:pPr>
        <w:pStyle w:val="ConsPlusNormal"/>
        <w:sectPr w:rsidR="003838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3814" w:rsidRDefault="00383814">
      <w:pPr>
        <w:pStyle w:val="ConsPlusNormal"/>
      </w:pPr>
    </w:p>
    <w:p w:rsidR="00383814" w:rsidRDefault="00383814">
      <w:pPr>
        <w:pStyle w:val="ConsPlusNormal"/>
        <w:jc w:val="right"/>
        <w:outlineLvl w:val="1"/>
      </w:pPr>
      <w:r>
        <w:t>Таблица 1</w:t>
      </w:r>
    </w:p>
    <w:p w:rsidR="00383814" w:rsidRDefault="00383814">
      <w:pPr>
        <w:pStyle w:val="ConsPlusNormal"/>
        <w:jc w:val="right"/>
      </w:pPr>
      <w:r>
        <w:t>к Приложению</w:t>
      </w:r>
    </w:p>
    <w:p w:rsidR="00383814" w:rsidRDefault="00383814">
      <w:pPr>
        <w:pStyle w:val="ConsPlusNormal"/>
        <w:jc w:val="right"/>
      </w:pPr>
      <w:r>
        <w:t>к распоряжению</w:t>
      </w:r>
    </w:p>
    <w:p w:rsidR="00383814" w:rsidRDefault="00383814">
      <w:pPr>
        <w:pStyle w:val="ConsPlusNormal"/>
        <w:jc w:val="right"/>
      </w:pPr>
      <w:r>
        <w:t>Комитета по тарифам</w:t>
      </w:r>
    </w:p>
    <w:p w:rsidR="00383814" w:rsidRDefault="00383814">
      <w:pPr>
        <w:pStyle w:val="ConsPlusNormal"/>
        <w:jc w:val="right"/>
      </w:pPr>
      <w:r>
        <w:t>Санкт-Петербурга</w:t>
      </w:r>
    </w:p>
    <w:p w:rsidR="00383814" w:rsidRDefault="00383814">
      <w:pPr>
        <w:pStyle w:val="ConsPlusNormal"/>
        <w:jc w:val="right"/>
      </w:pPr>
      <w:r>
        <w:t>от 28.12.2023 N 283-р</w:t>
      </w:r>
    </w:p>
    <w:p w:rsidR="00383814" w:rsidRDefault="00383814">
      <w:pPr>
        <w:pStyle w:val="ConsPlusNormal"/>
      </w:pPr>
    </w:p>
    <w:p w:rsidR="00383814" w:rsidRDefault="00383814">
      <w:pPr>
        <w:pStyle w:val="ConsPlusTitle"/>
        <w:jc w:val="center"/>
      </w:pPr>
      <w:r>
        <w:t>Диапазоны</w:t>
      </w:r>
    </w:p>
    <w:p w:rsidR="00383814" w:rsidRDefault="00383814">
      <w:pPr>
        <w:pStyle w:val="ConsPlusTitle"/>
        <w:jc w:val="center"/>
      </w:pPr>
      <w:r>
        <w:t>объемов потребления электрической энергии (мощности)</w:t>
      </w:r>
    </w:p>
    <w:p w:rsidR="00383814" w:rsidRDefault="003838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1700"/>
        <w:gridCol w:w="1700"/>
        <w:gridCol w:w="1700"/>
      </w:tblGrid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</w:tcPr>
          <w:p w:rsidR="00383814" w:rsidRDefault="0038381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(мощности), кВт.ч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(мощности), кВт.ч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(мощности), кВт.ч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4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703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383814" w:rsidRDefault="0038381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</w:t>
            </w:r>
            <w:r>
              <w:lastRenderedPageBreak/>
              <w:t xml:space="preserve">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иных случаях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bookmarkStart w:id="4" w:name="P644"/>
            <w:bookmarkEnd w:id="4"/>
            <w:r>
              <w:t>2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83814" w:rsidRDefault="0038381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>
              <w:lastRenderedPageBreak/>
              <w:t xml:space="preserve">предусмотренных </w:t>
            </w:r>
            <w:hyperlink r:id="rId1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83814" w:rsidRDefault="0038381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5">
              <w:r>
                <w:rPr>
                  <w:color w:val="0000FF"/>
                </w:rPr>
                <w:t xml:space="preserve">подпунктом "а" </w:t>
              </w:r>
              <w:r>
                <w:rPr>
                  <w:color w:val="0000FF"/>
                </w:rPr>
                <w:lastRenderedPageBreak/>
                <w:t>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иных случаях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83814" w:rsidRDefault="0038381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6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bookmarkStart w:id="5" w:name="P703"/>
            <w:bookmarkEnd w:id="5"/>
            <w:r>
              <w:t>5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383814" w:rsidRDefault="0038381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7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83814" w:rsidRDefault="00383814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 xml:space="preserve">до 6400 </w:t>
            </w:r>
            <w:r>
              <w:lastRenderedPageBreak/>
              <w:t>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 xml:space="preserve">от 6401 до </w:t>
            </w:r>
            <w:r>
              <w:lastRenderedPageBreak/>
              <w:t>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свыше 11501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501" w:type="dxa"/>
            <w:gridSpan w:val="4"/>
          </w:tcPr>
          <w:p w:rsidR="00383814" w:rsidRDefault="0038381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83814" w:rsidRDefault="00383814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3401" w:type="dxa"/>
          </w:tcPr>
          <w:p w:rsidR="00383814" w:rsidRDefault="00383814">
            <w:pPr>
              <w:pStyle w:val="ConsPlusNormal"/>
            </w:pPr>
            <w:r>
              <w:t>на один гараж, хозяйственную постройку (сарай, погреб)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до 6400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от 6401 до 11500 включительно</w:t>
            </w:r>
          </w:p>
        </w:tc>
        <w:tc>
          <w:tcPr>
            <w:tcW w:w="1700" w:type="dxa"/>
          </w:tcPr>
          <w:p w:rsidR="00383814" w:rsidRDefault="00383814">
            <w:pPr>
              <w:pStyle w:val="ConsPlusNormal"/>
              <w:jc w:val="center"/>
            </w:pPr>
            <w:r>
              <w:t>свыше 11501</w:t>
            </w:r>
          </w:p>
        </w:tc>
      </w:tr>
    </w:tbl>
    <w:p w:rsidR="00383814" w:rsidRDefault="00383814">
      <w:pPr>
        <w:pStyle w:val="ConsPlusNormal"/>
      </w:pPr>
    </w:p>
    <w:p w:rsidR="00383814" w:rsidRDefault="00383814">
      <w:pPr>
        <w:pStyle w:val="ConsPlusNormal"/>
        <w:jc w:val="right"/>
        <w:outlineLvl w:val="1"/>
      </w:pPr>
      <w:r>
        <w:t>Таблица 2</w:t>
      </w:r>
    </w:p>
    <w:p w:rsidR="00383814" w:rsidRDefault="00383814">
      <w:pPr>
        <w:pStyle w:val="ConsPlusNormal"/>
        <w:jc w:val="right"/>
      </w:pPr>
      <w:r>
        <w:t>к Приложению</w:t>
      </w:r>
    </w:p>
    <w:p w:rsidR="00383814" w:rsidRDefault="00383814">
      <w:pPr>
        <w:pStyle w:val="ConsPlusNormal"/>
        <w:jc w:val="right"/>
      </w:pPr>
      <w:r>
        <w:t>к распоряжению</w:t>
      </w:r>
    </w:p>
    <w:p w:rsidR="00383814" w:rsidRDefault="00383814">
      <w:pPr>
        <w:pStyle w:val="ConsPlusNormal"/>
        <w:jc w:val="right"/>
      </w:pPr>
      <w:r>
        <w:t>Комитета по тарифам</w:t>
      </w:r>
    </w:p>
    <w:p w:rsidR="00383814" w:rsidRDefault="00383814">
      <w:pPr>
        <w:pStyle w:val="ConsPlusNormal"/>
        <w:jc w:val="right"/>
      </w:pPr>
      <w:r>
        <w:t>Санкт-Петербурга</w:t>
      </w:r>
    </w:p>
    <w:p w:rsidR="00383814" w:rsidRDefault="00383814">
      <w:pPr>
        <w:pStyle w:val="ConsPlusNormal"/>
        <w:jc w:val="right"/>
      </w:pPr>
      <w:r>
        <w:t>от 28.12.2023 N 283-р</w:t>
      </w:r>
    </w:p>
    <w:p w:rsidR="00383814" w:rsidRDefault="00383814">
      <w:pPr>
        <w:pStyle w:val="ConsPlusNormal"/>
      </w:pPr>
    </w:p>
    <w:p w:rsidR="00383814" w:rsidRDefault="00383814">
      <w:pPr>
        <w:pStyle w:val="ConsPlusTitle"/>
        <w:jc w:val="center"/>
      </w:pPr>
      <w:r>
        <w:t>Балансовые показатели</w:t>
      </w:r>
    </w:p>
    <w:p w:rsidR="00383814" w:rsidRDefault="00383814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383814" w:rsidRDefault="00383814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383814" w:rsidRDefault="00383814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383814" w:rsidRDefault="00383814">
      <w:pPr>
        <w:pStyle w:val="ConsPlusTitle"/>
        <w:jc w:val="center"/>
      </w:pPr>
      <w:r>
        <w:t xml:space="preserve">потребителей </w:t>
      </w:r>
      <w:proofErr w:type="gramStart"/>
      <w:r>
        <w:t>по Санкт-Петербурга</w:t>
      </w:r>
      <w:proofErr w:type="gramEnd"/>
      <w:r>
        <w:t xml:space="preserve"> на 2024 год</w:t>
      </w:r>
    </w:p>
    <w:p w:rsidR="00383814" w:rsidRDefault="003838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386"/>
        <w:gridCol w:w="1531"/>
        <w:gridCol w:w="1587"/>
      </w:tblGrid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118" w:type="dxa"/>
            <w:gridSpan w:val="2"/>
          </w:tcPr>
          <w:p w:rsidR="00383814" w:rsidRDefault="00383814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538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9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813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1167,78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1144,28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bookmarkStart w:id="6" w:name="P792"/>
            <w:bookmarkEnd w:id="6"/>
            <w:r>
              <w:t>2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31,63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32,15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1720,01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1555,37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5,00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bookmarkStart w:id="7" w:name="P813"/>
            <w:bookmarkEnd w:id="7"/>
            <w:r>
              <w:t>5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lastRenderedPageBreak/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94,78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87,58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lastRenderedPageBreak/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в домах, в которых имеются жилые помещения специализированного жилого фонда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0,00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38,48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36,00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1,08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12,99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12,14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31,48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 xml:space="preserve">Объединения граждан, приобретающих </w:t>
            </w:r>
            <w:r>
              <w:lastRenderedPageBreak/>
              <w:t>электрическую энергию (мощность) для использования в принадлежащих им хозяйственных постройках (погреба, сараи).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8,52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6,88</w:t>
            </w:r>
          </w:p>
        </w:tc>
      </w:tr>
    </w:tbl>
    <w:p w:rsidR="00383814" w:rsidRDefault="00383814">
      <w:pPr>
        <w:pStyle w:val="ConsPlusNormal"/>
      </w:pPr>
    </w:p>
    <w:p w:rsidR="00383814" w:rsidRDefault="00383814">
      <w:pPr>
        <w:pStyle w:val="ConsPlusNormal"/>
        <w:jc w:val="right"/>
        <w:outlineLvl w:val="1"/>
      </w:pPr>
      <w:r>
        <w:t>Таблица 3</w:t>
      </w:r>
    </w:p>
    <w:p w:rsidR="00383814" w:rsidRDefault="00383814">
      <w:pPr>
        <w:pStyle w:val="ConsPlusNormal"/>
        <w:jc w:val="right"/>
      </w:pPr>
      <w:r>
        <w:t>к Приложению</w:t>
      </w:r>
    </w:p>
    <w:p w:rsidR="00383814" w:rsidRDefault="00383814">
      <w:pPr>
        <w:pStyle w:val="ConsPlusNormal"/>
        <w:jc w:val="right"/>
      </w:pPr>
      <w:r>
        <w:t>к распоряжению</w:t>
      </w:r>
    </w:p>
    <w:p w:rsidR="00383814" w:rsidRDefault="00383814">
      <w:pPr>
        <w:pStyle w:val="ConsPlusNormal"/>
        <w:jc w:val="right"/>
      </w:pPr>
      <w:r>
        <w:t>Комитета по тарифам</w:t>
      </w:r>
    </w:p>
    <w:p w:rsidR="00383814" w:rsidRDefault="00383814">
      <w:pPr>
        <w:pStyle w:val="ConsPlusNormal"/>
        <w:jc w:val="right"/>
      </w:pPr>
      <w:r>
        <w:t>Санкт-Петербурга</w:t>
      </w:r>
    </w:p>
    <w:p w:rsidR="00383814" w:rsidRDefault="00383814">
      <w:pPr>
        <w:pStyle w:val="ConsPlusNormal"/>
        <w:jc w:val="right"/>
      </w:pPr>
      <w:r>
        <w:t>от 28.12.2023 N 283-р</w:t>
      </w:r>
    </w:p>
    <w:p w:rsidR="00383814" w:rsidRDefault="003838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386"/>
        <w:gridCol w:w="1531"/>
        <w:gridCol w:w="1587"/>
      </w:tblGrid>
      <w:tr w:rsidR="00383814">
        <w:tc>
          <w:tcPr>
            <w:tcW w:w="56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</w:tcPr>
          <w:p w:rsidR="00383814" w:rsidRDefault="0038381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118" w:type="dxa"/>
            <w:gridSpan w:val="2"/>
          </w:tcPr>
          <w:p w:rsidR="00383814" w:rsidRDefault="00383814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383814">
        <w:tc>
          <w:tcPr>
            <w:tcW w:w="56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5386" w:type="dxa"/>
            <w:vMerge/>
          </w:tcPr>
          <w:p w:rsidR="00383814" w:rsidRDefault="00383814">
            <w:pPr>
              <w:pStyle w:val="ConsPlusNormal"/>
            </w:pP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0,75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0,75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 xml:space="preserve">Население, проживающее в городских населенных пунктах в домах, оборудованных электроотопительными установками и не </w:t>
            </w:r>
            <w:r>
              <w:lastRenderedPageBreak/>
              <w:t>оборудованных стационарными электроплитами, и приравненные к нему: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0,75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lastRenderedPageBreak/>
              <w:t>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-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</w:pPr>
          </w:p>
        </w:tc>
        <w:tc>
          <w:tcPr>
            <w:tcW w:w="1587" w:type="dxa"/>
          </w:tcPr>
          <w:p w:rsidR="00383814" w:rsidRDefault="00383814">
            <w:pPr>
              <w:pStyle w:val="ConsPlusNormal"/>
            </w:pP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lastRenderedPageBreak/>
              <w:t>1,00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</w:tr>
      <w:tr w:rsidR="00383814">
        <w:tc>
          <w:tcPr>
            <w:tcW w:w="566" w:type="dxa"/>
          </w:tcPr>
          <w:p w:rsidR="00383814" w:rsidRDefault="00383814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386" w:type="dxa"/>
          </w:tcPr>
          <w:p w:rsidR="00383814" w:rsidRDefault="00383814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83814" w:rsidRDefault="00383814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</w:tcPr>
          <w:p w:rsidR="00383814" w:rsidRDefault="00383814">
            <w:pPr>
              <w:pStyle w:val="ConsPlusNormal"/>
              <w:jc w:val="center"/>
            </w:pPr>
            <w:r>
              <w:t>1,00</w:t>
            </w:r>
          </w:p>
        </w:tc>
      </w:tr>
    </w:tbl>
    <w:p w:rsidR="00383814" w:rsidRDefault="00383814">
      <w:pPr>
        <w:pStyle w:val="ConsPlusNormal"/>
      </w:pPr>
    </w:p>
    <w:p w:rsidR="00383814" w:rsidRDefault="00383814">
      <w:pPr>
        <w:pStyle w:val="ConsPlusNormal"/>
      </w:pPr>
    </w:p>
    <w:p w:rsidR="00383814" w:rsidRDefault="003838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9591F" w:rsidRDefault="00B9591F"/>
    <w:sectPr w:rsidR="00B9591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14"/>
    <w:rsid w:val="00383814"/>
    <w:rsid w:val="00B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00A62-4883-4307-A0D7-4A4227B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38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838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38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83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38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3838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951" TargetMode="External"/><Relationship Id="rId13" Type="http://schemas.openxmlformats.org/officeDocument/2006/relationships/hyperlink" Target="https://login.consultant.ru/link/?req=doc&amp;base=LAW&amp;n=41141&amp;dst=10000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26" TargetMode="External"/><Relationship Id="rId12" Type="http://schemas.openxmlformats.org/officeDocument/2006/relationships/hyperlink" Target="https://login.consultant.ru/link/?req=doc&amp;base=SPB&amp;n=283867&amp;dst=100012" TargetMode="External"/><Relationship Id="rId17" Type="http://schemas.openxmlformats.org/officeDocument/2006/relationships/hyperlink" Target="https://login.consultant.ru/link/?req=doc&amp;base=LAW&amp;n=41141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141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hyperlink" Target="https://login.consultant.ru/link/?req=doc&amp;base=SPB&amp;n=283867" TargetMode="External"/><Relationship Id="rId5" Type="http://schemas.openxmlformats.org/officeDocument/2006/relationships/hyperlink" Target="https://login.consultant.ru/link/?req=doc&amp;base=LAW&amp;n=451216" TargetMode="External"/><Relationship Id="rId15" Type="http://schemas.openxmlformats.org/officeDocument/2006/relationships/hyperlink" Target="https://login.consultant.ru/link/?req=doc&amp;base=LAW&amp;n=41141&amp;dst=100006" TargetMode="External"/><Relationship Id="rId10" Type="http://schemas.openxmlformats.org/officeDocument/2006/relationships/hyperlink" Target="https://login.consultant.ru/link/?req=doc&amp;base=SPB&amp;n=27488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2184" TargetMode="External"/><Relationship Id="rId14" Type="http://schemas.openxmlformats.org/officeDocument/2006/relationships/hyperlink" Target="https://login.consultant.ru/link/?req=doc&amp;base=LAW&amp;n=4114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8713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2024-01-22T12:01:00Z</dcterms:created>
  <dcterms:modified xsi:type="dcterms:W3CDTF">2024-01-22T12:02:00Z</dcterms:modified>
</cp:coreProperties>
</file>