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0E" w:rsidRPr="00C54DBF" w:rsidRDefault="00A0080E" w:rsidP="00A0080E">
      <w:pPr>
        <w:spacing w:before="100" w:beforeAutospacing="1" w:after="15" w:line="240" w:lineRule="atLeast"/>
        <w:outlineLvl w:val="0"/>
        <w:rPr>
          <w:rFonts w:ascii="Verdana" w:eastAsia="Times New Roman" w:hAnsi="Verdana" w:cs="Times New Roman"/>
          <w:b/>
          <w:bCs/>
          <w:kern w:val="36"/>
          <w:sz w:val="42"/>
          <w:szCs w:val="42"/>
          <w:lang w:eastAsia="ru-RU"/>
        </w:rPr>
      </w:pPr>
      <w:r w:rsidRPr="00C54DBF">
        <w:rPr>
          <w:rFonts w:ascii="Verdana" w:eastAsia="Times New Roman" w:hAnsi="Verdana" w:cs="Times New Roman"/>
          <w:b/>
          <w:bCs/>
          <w:kern w:val="36"/>
          <w:sz w:val="42"/>
          <w:szCs w:val="42"/>
          <w:lang w:eastAsia="ru-RU"/>
        </w:rPr>
        <w:t>Информационное письмо от 30.12.2011 № 01-22-4212/11-0-0</w:t>
      </w:r>
    </w:p>
    <w:p w:rsidR="00A0080E" w:rsidRPr="00C54DBF" w:rsidRDefault="00A0080E" w:rsidP="00A00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0E" w:rsidRPr="00C54DBF" w:rsidRDefault="00A0080E" w:rsidP="00A0080E">
      <w:pPr>
        <w:spacing w:before="100" w:beforeAutospacing="1" w:after="15" w:line="240" w:lineRule="atLeast"/>
        <w:outlineLvl w:val="2"/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</w:pPr>
      <w:r w:rsidRPr="00C54DBF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30.12.2011</w:t>
      </w:r>
    </w:p>
    <w:p w:rsidR="00A0080E" w:rsidRPr="00C54DBF" w:rsidRDefault="00A0080E" w:rsidP="00A0080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26.03.2003 № 35-ФЗ </w:t>
      </w:r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«Об электроэнергетике», постановлением Правительства Российской Федерации </w:t>
      </w:r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31.08.2006 № 530 «Об утверждении основных положений функционирования розничных рынков электрической энергии», приказом ФСТ России от 08.04.2005 № 130-э «Об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</w:t>
      </w:r>
      <w:proofErr w:type="gramEnd"/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(тепловой) энергии (мощности)», постановлением Правительства Санкт-Петербурга от 13.09.2005 № 1346</w:t>
      </w:r>
      <w:proofErr w:type="gramStart"/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</w:t>
      </w:r>
      <w:proofErr w:type="gramEnd"/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Комитете по тарифам Санкт-Петербурга», распоряжением Комитета по тарифам </w:t>
      </w:r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Санкт-Петербурга от 20.12.2011 № 499-р сообщаем следующее. </w:t>
      </w:r>
    </w:p>
    <w:p w:rsidR="00A0080E" w:rsidRPr="00C54DBF" w:rsidRDefault="00A0080E" w:rsidP="00A0080E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платы за регулируемые услуги рассчитывается исходя из единых (котловых) тарифов на услуги по передаче электрической энергии по сетям на территории Санкт-Петербурга в 2012 году, установленных распоряжением Комитета по тарифам Санкт-Петербурга от 20.12.2011 № 499-р, сбытовых надбавок гарантирующих поставщиков электрической энергии на территории Санкт-Петербурга на 2012 год, установленных распоряжением Комитета по тарифам Санкт-Петербурга от 28.12.2011 № 563-р, </w:t>
      </w:r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календарной разбивкой на периоды</w:t>
      </w:r>
      <w:proofErr w:type="gramEnd"/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01.01.2012 по 30.06.2012 и с 01.07.2012 по 31.12.2012, а также тарифа на услуги коммерческого оператора, оказываемые ОАО «АТС» субъектам оптового рынка электрической энергии (мощности), утвержденного приказом ФСТ России от 29.11.2011 № 302-э/3, и предельного максимального уровня цен (тарифов) на услуги по оперативно-диспетчерскому управлению в электроэнергетике в части организации отбора исполнителей и оплаты услуг по обеспечению системной надежности, услуг по</w:t>
      </w:r>
      <w:proofErr w:type="gramEnd"/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54D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обеспечению вывода Единой энергетической системы России из аварийных ситуаций, услуг по формированию технологического резерва мощностей, оказываемые ОАО «Системный оператор Единой энергетической системы», утвержденного приказом ФСТ России от 13.12.2011 № 448-э/1. </w:t>
      </w:r>
      <w:proofErr w:type="gramEnd"/>
    </w:p>
    <w:p w:rsidR="00A0080E" w:rsidRPr="00C54DBF" w:rsidRDefault="00A0080E" w:rsidP="00A0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54DBF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A0080E" w:rsidRPr="00C54DBF" w:rsidRDefault="00A0080E" w:rsidP="00A0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080E" w:rsidRPr="00C54DBF" w:rsidRDefault="00A0080E" w:rsidP="00A0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080E" w:rsidRPr="00C54DBF" w:rsidRDefault="00A0080E" w:rsidP="00A0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080E" w:rsidRPr="00C54DBF" w:rsidRDefault="00A0080E" w:rsidP="00A0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0080E" w:rsidRPr="00C54DBF" w:rsidRDefault="00A0080E" w:rsidP="00A008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Размеры платы за регулируемые услуги, оказание которых неразрывно </w:t>
      </w:r>
    </w:p>
    <w:p w:rsidR="00A0080E" w:rsidRPr="00C54DBF" w:rsidRDefault="00A0080E" w:rsidP="00A008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4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связано с процессом снабжения электрической энергией (мощностью) потребителей, расположенных на территории Санкт-Петербурга, гарантирующими поставщиками электрической энергии, на 2012 год </w:t>
      </w:r>
    </w:p>
    <w:p w:rsidR="00A0080E" w:rsidRPr="00C54DBF" w:rsidRDefault="00A0080E" w:rsidP="00A008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C54D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(на период с 01.01.2012 по 30.06.2012) </w:t>
      </w:r>
    </w:p>
    <w:p w:rsidR="00A0080E" w:rsidRPr="00C54DBF" w:rsidRDefault="00A0080E" w:rsidP="00A008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tbl>
      <w:tblPr>
        <w:tblW w:w="9923" w:type="dxa"/>
        <w:jc w:val="center"/>
        <w:tblLook w:val="04A0"/>
      </w:tblPr>
      <w:tblGrid>
        <w:gridCol w:w="820"/>
        <w:gridCol w:w="3040"/>
        <w:gridCol w:w="1360"/>
        <w:gridCol w:w="1175"/>
        <w:gridCol w:w="1176"/>
        <w:gridCol w:w="1176"/>
        <w:gridCol w:w="1176"/>
      </w:tblGrid>
      <w:tr w:rsidR="00A0080E" w:rsidRPr="00C54DBF" w:rsidTr="00A0080E">
        <w:trPr>
          <w:trHeight w:val="169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0E" w:rsidRPr="00C54DBF" w:rsidRDefault="00A0080E" w:rsidP="00A0080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0E" w:rsidRPr="00C54DBF" w:rsidRDefault="00A0080E" w:rsidP="00A0080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0E" w:rsidRPr="00C54DBF" w:rsidRDefault="00A0080E" w:rsidP="00A0080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Диапазоны напряжения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0E" w:rsidRPr="00C54DBF" w:rsidRDefault="00A0080E" w:rsidP="00A0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0E" w:rsidRPr="00C54DBF" w:rsidRDefault="00A0080E" w:rsidP="00A0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0E" w:rsidRPr="00C54DBF" w:rsidRDefault="00A0080E" w:rsidP="00A0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ВН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СН 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СН II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НН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7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ОАО «Петербургская сбытовая компания»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506,969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1 014,489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1 390,929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1 530,689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390,930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898,450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1 274,890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1 414,650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двухставочном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1.2.1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энергию,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175,629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226,429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317,359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457,979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ставка на оплату технологического расхода (потерь) в электрических сетях</w:t>
            </w: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110,390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201,320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341,940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1.2.2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мощность,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122 242,420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243 907,890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270 216,170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278 766,880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содержание электрических сетей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122 242,420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243 907,890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270 216,170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278 766,880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регулируемые услуги, дифференцированные по зонам суток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ночная, полупиковая, пиковая зона,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506,969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1 014,489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1 390,929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1 530,689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390,930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898,450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1 274,890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1 414,650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«ЭНЕРГИЯ ХОЛДИНГ»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503,619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1 011,139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1 387,579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1 527,339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390,930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898,450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1 274,890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1 414,650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2.2.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двухставочном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исчислении</w:t>
            </w: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ставка за энергию,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172,279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223,079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314,009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454,629 </w:t>
            </w:r>
          </w:p>
        </w:tc>
      </w:tr>
    </w:tbl>
    <w:p w:rsidR="00A0080E" w:rsidRPr="00C54DBF" w:rsidRDefault="00A0080E" w:rsidP="00A008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A0080E" w:rsidRPr="00C54DBF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9923" w:type="dxa"/>
        <w:jc w:val="center"/>
        <w:tblLook w:val="04A0"/>
      </w:tblPr>
      <w:tblGrid>
        <w:gridCol w:w="820"/>
        <w:gridCol w:w="3040"/>
        <w:gridCol w:w="1360"/>
        <w:gridCol w:w="1175"/>
        <w:gridCol w:w="1176"/>
        <w:gridCol w:w="1176"/>
        <w:gridCol w:w="1176"/>
      </w:tblGrid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ставка на оплату технологического расхода (потерь) в электрических сетях</w:t>
            </w: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110,390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201,320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341,940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2.2.2.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мощность,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122 242,420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243 907,890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270 216,170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278 766,880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содержание электрических сетей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122 242,420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243 907,890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270 216,170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278 766,880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регулируемые услуги, дифференцированные по зонам суток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ночная, полупиковая, пиковая зона,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503,619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1 011,139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1 387,579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1 527,339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390,930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898,450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1 274,890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1 414,650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«РУСЭНЕРГОСБЫТ»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433,559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941,079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1 317,519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1 457,279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390,930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898,450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1 274,890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1 414,650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40,480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40,480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40,480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40,480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двухставочном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энергию,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102,219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153,019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243,949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384,569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ставка на оплату технологического расхода (потерь) в электрических сетях</w:t>
            </w: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110,390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201,320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341,940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40,480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40,480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40,480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40,480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3.2.2.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мощность,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122 242,420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243 907,890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270 216,170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278 766,880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содержание электрических сетей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122 242,420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243 907,890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270 216,170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278 766,880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Плата за регулируемые услуги, дифференцированные по зонам суток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ночная, полупиковая, пиковая зона,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433,559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941,079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1 317,519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1 457,279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390,930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898,450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1 274,890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1 414,650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40,480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40,480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40,480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40,480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ОАО «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Оборонэнергосбыт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(филиал «Северо-Западный»)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 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4.1.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исчислении,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452,599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960,119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1 336,559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1 476,319 </w:t>
            </w:r>
          </w:p>
        </w:tc>
      </w:tr>
    </w:tbl>
    <w:p w:rsidR="00A0080E" w:rsidRPr="00C54DBF" w:rsidRDefault="00A0080E" w:rsidP="00A008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A0080E" w:rsidRPr="00C54DBF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9923" w:type="dxa"/>
        <w:jc w:val="center"/>
        <w:tblLook w:val="04A0"/>
      </w:tblPr>
      <w:tblGrid>
        <w:gridCol w:w="820"/>
        <w:gridCol w:w="3040"/>
        <w:gridCol w:w="1360"/>
        <w:gridCol w:w="1175"/>
        <w:gridCol w:w="1176"/>
        <w:gridCol w:w="1176"/>
        <w:gridCol w:w="1176"/>
      </w:tblGrid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390,930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898,450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1 274,890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1 414,650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59,520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двухставочном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энергию,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121,259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172,059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262,989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403,609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ставка на оплату технологического расхода (потерь) в электрических сетях</w:t>
            </w: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110,390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201,320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341,940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59,520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4.2.2.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мощность,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122 242,420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243 907,890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270 216,170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278 766,880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содержание электрических сетей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122 242,420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243 907,890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270 216,170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278 766,880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4.3.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регулируемые услуги, дифференцированные по зонам суток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ночная, полупиковая, пиковая зона,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452,599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960,119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1 336,559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1 476,319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390,930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898,450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1 274,890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1 414,650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0,696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59,520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59,520 </w:t>
            </w:r>
          </w:p>
        </w:tc>
      </w:tr>
    </w:tbl>
    <w:p w:rsidR="00A0080E" w:rsidRPr="00C54DBF" w:rsidRDefault="00A0080E" w:rsidP="00A0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80E" w:rsidRPr="00C54DBF" w:rsidRDefault="00A0080E" w:rsidP="00A0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80E" w:rsidRPr="00C54DBF" w:rsidRDefault="00A0080E" w:rsidP="00A008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Размеры платы за регулируемые услуги, оказание которых неразрывно </w:t>
      </w:r>
    </w:p>
    <w:p w:rsidR="00A0080E" w:rsidRPr="00C54DBF" w:rsidRDefault="00A0080E" w:rsidP="00A0080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связано с процессом снабжения электрической энергией (мощностью) потребителей, расположенных на территории Санкт-Петербурга, гарантирующими поставщиками электрической энергии, на 2012 год </w:t>
      </w:r>
    </w:p>
    <w:p w:rsidR="00A0080E" w:rsidRPr="00C54DBF" w:rsidRDefault="00A0080E" w:rsidP="00A00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(на период с 01.07.2012 по 31.12.2012) </w:t>
      </w:r>
    </w:p>
    <w:p w:rsidR="00A0080E" w:rsidRPr="00C54DBF" w:rsidRDefault="00A0080E" w:rsidP="00A0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D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tbl>
      <w:tblPr>
        <w:tblW w:w="9923" w:type="dxa"/>
        <w:tblInd w:w="88" w:type="dxa"/>
        <w:tblLook w:val="04A0"/>
      </w:tblPr>
      <w:tblGrid>
        <w:gridCol w:w="820"/>
        <w:gridCol w:w="3040"/>
        <w:gridCol w:w="1360"/>
        <w:gridCol w:w="1175"/>
        <w:gridCol w:w="1176"/>
        <w:gridCol w:w="1176"/>
        <w:gridCol w:w="1176"/>
      </w:tblGrid>
      <w:tr w:rsidR="00A0080E" w:rsidRPr="00C54DBF" w:rsidTr="00A0080E">
        <w:trPr>
          <w:trHeight w:val="16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0E" w:rsidRPr="00C54DBF" w:rsidRDefault="00A0080E" w:rsidP="00A0080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0E" w:rsidRPr="00C54DBF" w:rsidRDefault="00A0080E" w:rsidP="00A0080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80E" w:rsidRPr="00C54DBF" w:rsidRDefault="00A0080E" w:rsidP="00A0080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169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Диапазоны напряжения </w:t>
            </w:r>
          </w:p>
        </w:tc>
      </w:tr>
      <w:tr w:rsidR="00A0080E" w:rsidRPr="00C54DBF" w:rsidTr="00A0080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0E" w:rsidRPr="00C54DBF" w:rsidRDefault="00A0080E" w:rsidP="00A0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0E" w:rsidRPr="00C54DBF" w:rsidRDefault="00A0080E" w:rsidP="00A0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0E" w:rsidRPr="00C54DBF" w:rsidRDefault="00A0080E" w:rsidP="00A0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ВН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СН 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СН II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НН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ОАО «Петербургская сбытовая компания»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545,693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1 113,373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1 529,453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1 686,143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429,600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997,280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1 413,360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1 570,050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двухставочном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1.2.1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энергию,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182,233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238,623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339,563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495,643 </w:t>
            </w:r>
          </w:p>
        </w:tc>
      </w:tr>
    </w:tbl>
    <w:p w:rsidR="00A0080E" w:rsidRPr="00C54DBF" w:rsidRDefault="00A0080E" w:rsidP="00A008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A0080E" w:rsidRPr="00C54DBF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9923" w:type="dxa"/>
        <w:tblInd w:w="88" w:type="dxa"/>
        <w:tblLook w:val="04A0"/>
      </w:tblPr>
      <w:tblGrid>
        <w:gridCol w:w="820"/>
        <w:gridCol w:w="3040"/>
        <w:gridCol w:w="1360"/>
        <w:gridCol w:w="1175"/>
        <w:gridCol w:w="1176"/>
        <w:gridCol w:w="1176"/>
        <w:gridCol w:w="1176"/>
      </w:tblGrid>
      <w:tr w:rsidR="00A0080E" w:rsidRPr="00C54DBF" w:rsidTr="00A0080E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ставка на оплату технологического расхода (потерь) в электрических сетях</w:t>
            </w: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66,140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122,530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223,470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379,550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1.2.2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мощность,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135 689,090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270 737,760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299 939,950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309 431,240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содержание электрических сетей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135 689,090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270 737,760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299 939,950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309 431,240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1.3.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регулируемые услуги, дифференцированные по зонам суток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ночная, полупиковая, пиковая зона,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545,693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1 113,373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1 529,453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1 686,143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429,600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997,280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1 413,360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1 570,050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113,890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«ЭНЕРГИЯ ХОЛДИНГ»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542,343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1 110,023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1 526,103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1 682,793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429,600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997,280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1 413,360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1 570,050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двухставочном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энергию,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178,883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235,273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336,213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492,293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ставка на оплату технологического расхода (потерь) в электрических сетях</w:t>
            </w: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66,140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122,530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223,470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379,550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2.2.2.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мощность,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135 689,090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270 737,760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299 939,950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309 431,240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содержание электрических сетей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135 689,090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270 737,760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299 939,950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309 431,240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регулируемые услуги, дифференцированные по зонам суток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ночная, полупиковая, пиковая зона,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542,343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1 110,023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1 526,103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1 682,793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429,600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997,280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1 413,360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1 570,050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110,540 </w:t>
            </w:r>
          </w:p>
        </w:tc>
      </w:tr>
    </w:tbl>
    <w:p w:rsidR="00A0080E" w:rsidRPr="00C54DBF" w:rsidRDefault="00A0080E" w:rsidP="00A008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A0080E" w:rsidRPr="00C54DBF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9923" w:type="dxa"/>
        <w:tblInd w:w="88" w:type="dxa"/>
        <w:tblLook w:val="04A0"/>
      </w:tblPr>
      <w:tblGrid>
        <w:gridCol w:w="820"/>
        <w:gridCol w:w="3040"/>
        <w:gridCol w:w="1360"/>
        <w:gridCol w:w="1175"/>
        <w:gridCol w:w="1176"/>
        <w:gridCol w:w="1176"/>
        <w:gridCol w:w="1176"/>
      </w:tblGrid>
      <w:tr w:rsidR="00A0080E" w:rsidRPr="00C54DBF" w:rsidTr="00A0080E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ООО «РУСЭНЕРГОСБЫТ»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476,733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1 044,413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1 460,493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1 617,183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429,600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997,280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1 413,360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1 570,050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44,930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двухставочном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энергию,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113,273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169,663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270,603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426,683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ставка на оплату технологического расхода (потерь) в электрических сетях</w:t>
            </w: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66,140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122,530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223,470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379,550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44,930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3.2.2.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мощность,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135 689,090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270 737,760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299 939,950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309 431,240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содержание электрических сетей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135 689,090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270 737,760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299 939,950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309 431,240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3.3.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регулируемые услуги, дифференцированные по зонам суто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ночная, полупиковая, пиковая зона,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476,733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1 044,413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1 460,493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1 617,183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429,600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997,280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1 413,360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1 570,050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0,750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44,930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44,930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ОАО «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Оборонэнергосбыт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» (филиал «Северо-Западный»)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одноставочном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494,363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1 062,043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1 478,123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1 634,813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429,600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997,280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1 413,360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1 570,050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62,560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4.2. </w:t>
            </w:r>
          </w:p>
        </w:tc>
        <w:tc>
          <w:tcPr>
            <w:tcW w:w="91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Плата за регулируемые услуги в </w:t>
            </w: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двухставочном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исчислении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4.2.1.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энергию,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130,903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187,293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288,233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444,313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ставка на оплату технологического расхода (потерь) в электрических сетях</w:t>
            </w: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66,140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122,530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223,470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379,550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62,560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4.2.2.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ставка за мощность,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135 689,090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270 737,760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299 939,950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309 431,240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за содержание электрических сетей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руб./МВт∙мес.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135 689,090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270 737,760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299 939,950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309 431,240 </w:t>
            </w:r>
          </w:p>
        </w:tc>
      </w:tr>
    </w:tbl>
    <w:p w:rsidR="00A0080E" w:rsidRPr="00C54DBF" w:rsidRDefault="00A0080E" w:rsidP="00A008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ectPr w:rsidR="00A0080E" w:rsidRPr="00C54DBF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W w:w="9923" w:type="dxa"/>
        <w:tblInd w:w="88" w:type="dxa"/>
        <w:tblLook w:val="04A0"/>
      </w:tblPr>
      <w:tblGrid>
        <w:gridCol w:w="820"/>
        <w:gridCol w:w="3040"/>
        <w:gridCol w:w="1360"/>
        <w:gridCol w:w="1175"/>
        <w:gridCol w:w="1176"/>
        <w:gridCol w:w="1176"/>
        <w:gridCol w:w="1176"/>
      </w:tblGrid>
      <w:tr w:rsidR="00A0080E" w:rsidRPr="00C54DBF" w:rsidTr="00A0080E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7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4.3. </w:t>
            </w:r>
          </w:p>
        </w:tc>
        <w:tc>
          <w:tcPr>
            <w:tcW w:w="9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Плата за регулируемые услуги, дифференцированные по зонам суток</w:t>
            </w: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ночная, полупиковая, пиковая зона, в том числе: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494,363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1 062,043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1 478,123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1 634,813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одноставочные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тарифы на услуги по передаче электрической энергии по сетям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429,600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997,280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1 413,360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1 570,050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«АТС»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0,750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0,750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 на услуги ОАО «СО ЕЭС»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1,453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1,453 </w:t>
            </w:r>
          </w:p>
        </w:tc>
      </w:tr>
      <w:tr w:rsidR="00A0080E" w:rsidRPr="00C54DBF" w:rsidTr="00A0080E">
        <w:trPr>
          <w:trHeight w:val="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сбытовая надбавка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руб./МВт∙</w:t>
            </w:r>
            <w:proofErr w:type="gramStart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C54D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62,560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62,560 </w:t>
            </w:r>
          </w:p>
        </w:tc>
      </w:tr>
    </w:tbl>
    <w:p w:rsidR="00A0080E" w:rsidRPr="00C54DBF" w:rsidRDefault="00A0080E" w:rsidP="00A0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4D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A0080E" w:rsidRPr="00C54DBF" w:rsidRDefault="00A0080E" w:rsidP="00A008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C54D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Информационные письма Комитета по тарифам Санкт-Петербурга от 14.06.2011 </w:t>
      </w:r>
      <w:r w:rsidRPr="00C54D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№ 01-22-1626/11-0-0 «О размере платы за регулируемые услуги, оказание которых неразрывно связано с процессом снабжения потребителей электрической энергией (мощностью), с 01.05.2011» и от 27.09.2011 № 01-22-2838/11-0-0 «О размере платы </w:t>
      </w:r>
      <w:r w:rsidRPr="00C54D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за регулируемые услуги ОАО «</w:t>
      </w:r>
      <w:proofErr w:type="spellStart"/>
      <w:r w:rsidRPr="00C54D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Оборонэнергосбыт</w:t>
      </w:r>
      <w:proofErr w:type="spellEnd"/>
      <w:r w:rsidRPr="00C54D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оказание которых неразрывно связано с процессом снабжения потребителей электрической энергией (мощностью)» признать утратившими силу с 01.01.2012. </w:t>
      </w:r>
      <w:proofErr w:type="gramEnd"/>
    </w:p>
    <w:p w:rsidR="00A0080E" w:rsidRPr="00C54DBF" w:rsidRDefault="00A0080E" w:rsidP="00A0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D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A0080E" w:rsidRPr="00C54DBF" w:rsidRDefault="00A0080E" w:rsidP="00A008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54DB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tbl>
      <w:tblPr>
        <w:tblW w:w="10259" w:type="dxa"/>
        <w:jc w:val="center"/>
        <w:tblInd w:w="-666" w:type="dxa"/>
        <w:tblLook w:val="04A0"/>
      </w:tblPr>
      <w:tblGrid>
        <w:gridCol w:w="5884"/>
        <w:gridCol w:w="4375"/>
      </w:tblGrid>
      <w:tr w:rsidR="00A0080E" w:rsidRPr="00C54DBF" w:rsidTr="00A0080E">
        <w:trPr>
          <w:trHeight w:val="20"/>
          <w:jc w:val="center"/>
        </w:trPr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D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Председатель Комитета </w:t>
            </w:r>
          </w:p>
        </w:tc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80E" w:rsidRPr="00C54DBF" w:rsidRDefault="00A0080E" w:rsidP="00A0080E">
            <w:pPr>
              <w:spacing w:after="0" w:line="20" w:lineRule="atLeast"/>
              <w:ind w:left="-85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54D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Д.В.Коптин</w:t>
            </w:r>
            <w:proofErr w:type="spellEnd"/>
            <w:r w:rsidRPr="00C54DB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</w:t>
            </w:r>
          </w:p>
        </w:tc>
      </w:tr>
    </w:tbl>
    <w:p w:rsidR="00DF59B2" w:rsidRPr="00C54DBF" w:rsidRDefault="00DF59B2"/>
    <w:sectPr w:rsidR="00DF59B2" w:rsidRPr="00C54DBF" w:rsidSect="00DF59B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080E"/>
    <w:rsid w:val="00503F1A"/>
    <w:rsid w:val="00A0080E"/>
    <w:rsid w:val="00C54DBF"/>
    <w:rsid w:val="00DF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B2"/>
  </w:style>
  <w:style w:type="paragraph" w:styleId="1">
    <w:name w:val="heading 1"/>
    <w:basedOn w:val="a"/>
    <w:link w:val="10"/>
    <w:uiPriority w:val="9"/>
    <w:qFormat/>
    <w:rsid w:val="00A0080E"/>
    <w:pPr>
      <w:spacing w:before="100" w:beforeAutospacing="1" w:after="15" w:line="240" w:lineRule="atLeast"/>
      <w:outlineLvl w:val="0"/>
    </w:pPr>
    <w:rPr>
      <w:rFonts w:ascii="Verdana" w:eastAsia="Times New Roman" w:hAnsi="Verdana" w:cs="Times New Roman"/>
      <w:b/>
      <w:bCs/>
      <w:color w:val="3A84C4"/>
      <w:kern w:val="36"/>
      <w:sz w:val="42"/>
      <w:szCs w:val="42"/>
      <w:lang w:eastAsia="ru-RU"/>
    </w:rPr>
  </w:style>
  <w:style w:type="paragraph" w:styleId="2">
    <w:name w:val="heading 2"/>
    <w:basedOn w:val="a"/>
    <w:link w:val="20"/>
    <w:uiPriority w:val="9"/>
    <w:qFormat/>
    <w:rsid w:val="00A0080E"/>
    <w:pPr>
      <w:spacing w:before="100" w:beforeAutospacing="1" w:after="15" w:line="420" w:lineRule="atLeast"/>
      <w:outlineLvl w:val="1"/>
    </w:pPr>
    <w:rPr>
      <w:rFonts w:ascii="Verdana" w:eastAsia="Times New Roman" w:hAnsi="Verdana" w:cs="Times New Roman"/>
      <w:b/>
      <w:bCs/>
      <w:color w:val="346BA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0080E"/>
    <w:pPr>
      <w:spacing w:before="100" w:beforeAutospacing="1" w:after="15" w:line="240" w:lineRule="atLeast"/>
      <w:outlineLvl w:val="2"/>
    </w:pPr>
    <w:rPr>
      <w:rFonts w:ascii="Verdana" w:eastAsia="Times New Roman" w:hAnsi="Verdana" w:cs="Times New Roman"/>
      <w:b/>
      <w:bCs/>
      <w:color w:val="1C1C1C"/>
      <w:sz w:val="18"/>
      <w:szCs w:val="18"/>
      <w:lang w:eastAsia="ru-RU"/>
    </w:rPr>
  </w:style>
  <w:style w:type="paragraph" w:styleId="4">
    <w:name w:val="heading 4"/>
    <w:basedOn w:val="a"/>
    <w:link w:val="40"/>
    <w:uiPriority w:val="9"/>
    <w:qFormat/>
    <w:rsid w:val="00A0080E"/>
    <w:pPr>
      <w:spacing w:before="100" w:beforeAutospacing="1" w:after="15" w:line="240" w:lineRule="atLeast"/>
      <w:outlineLvl w:val="3"/>
    </w:pPr>
    <w:rPr>
      <w:rFonts w:ascii="Verdana" w:eastAsia="Times New Roman" w:hAnsi="Verdana" w:cs="Times New Roman"/>
      <w:b/>
      <w:bCs/>
      <w:color w:val="1C1C1C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80E"/>
    <w:rPr>
      <w:rFonts w:ascii="Verdana" w:eastAsia="Times New Roman" w:hAnsi="Verdana" w:cs="Times New Roman"/>
      <w:b/>
      <w:bCs/>
      <w:color w:val="3A84C4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080E"/>
    <w:rPr>
      <w:rFonts w:ascii="Verdana" w:eastAsia="Times New Roman" w:hAnsi="Verdana" w:cs="Times New Roman"/>
      <w:b/>
      <w:bCs/>
      <w:color w:val="346BA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080E"/>
    <w:rPr>
      <w:rFonts w:ascii="Verdana" w:eastAsia="Times New Roman" w:hAnsi="Verdana" w:cs="Times New Roman"/>
      <w:b/>
      <w:bCs/>
      <w:color w:val="1C1C1C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080E"/>
    <w:rPr>
      <w:rFonts w:ascii="Verdana" w:eastAsia="Times New Roman" w:hAnsi="Verdana" w:cs="Times New Roman"/>
      <w:b/>
      <w:bCs/>
      <w:color w:val="1C1C1C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A0080E"/>
    <w:rPr>
      <w:b/>
      <w:bCs/>
      <w:color w:val="80A9D1"/>
      <w:u w:val="single"/>
    </w:rPr>
  </w:style>
  <w:style w:type="character" w:styleId="a4">
    <w:name w:val="FollowedHyperlink"/>
    <w:basedOn w:val="a0"/>
    <w:uiPriority w:val="99"/>
    <w:semiHidden/>
    <w:unhideWhenUsed/>
    <w:rsid w:val="00A0080E"/>
    <w:rPr>
      <w:b/>
      <w:bCs/>
      <w:color w:val="80A9D1"/>
      <w:u w:val="single"/>
    </w:rPr>
  </w:style>
  <w:style w:type="character" w:styleId="a5">
    <w:name w:val="Strong"/>
    <w:basedOn w:val="a0"/>
    <w:uiPriority w:val="22"/>
    <w:qFormat/>
    <w:rsid w:val="00A0080E"/>
    <w:rPr>
      <w:b/>
      <w:bCs/>
    </w:rPr>
  </w:style>
  <w:style w:type="paragraph" w:customStyle="1" w:styleId="news-date-time">
    <w:name w:val="news-date-time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smalltext">
    <w:name w:val="smalltext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639A"/>
      <w:sz w:val="24"/>
      <w:szCs w:val="24"/>
      <w:lang w:eastAsia="ru-RU"/>
    </w:rPr>
  </w:style>
  <w:style w:type="paragraph" w:customStyle="1" w:styleId="smalltextwhite">
    <w:name w:val="smalltextwhite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9CC9"/>
      <w:sz w:val="24"/>
      <w:szCs w:val="24"/>
      <w:lang w:eastAsia="ru-RU"/>
    </w:rPr>
  </w:style>
  <w:style w:type="paragraph" w:customStyle="1" w:styleId="smalltextblack">
    <w:name w:val="smalltextblack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stext">
    <w:name w:val="newstext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9CC9"/>
      <w:sz w:val="24"/>
      <w:szCs w:val="24"/>
      <w:lang w:eastAsia="ru-RU"/>
    </w:rPr>
  </w:style>
  <w:style w:type="paragraph" w:customStyle="1" w:styleId="newsdata">
    <w:name w:val="newsdata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4C1E"/>
      <w:sz w:val="24"/>
      <w:szCs w:val="24"/>
      <w:lang w:eastAsia="ru-RU"/>
    </w:rPr>
  </w:style>
  <w:style w:type="paragraph" w:customStyle="1" w:styleId="newsdatab">
    <w:name w:val="newsdatab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C1E"/>
      <w:sz w:val="24"/>
      <w:szCs w:val="24"/>
      <w:lang w:eastAsia="ru-RU"/>
    </w:rPr>
  </w:style>
  <w:style w:type="paragraph" w:customStyle="1" w:styleId="titletext">
    <w:name w:val="titletext"/>
    <w:basedOn w:val="a"/>
    <w:rsid w:val="00A0080E"/>
    <w:pPr>
      <w:spacing w:before="100" w:beforeAutospacing="1" w:after="100" w:afterAutospacing="1" w:line="270" w:lineRule="atLeast"/>
    </w:pPr>
    <w:rPr>
      <w:rFonts w:ascii="Arial" w:eastAsia="Times New Roman" w:hAnsi="Arial" w:cs="Arial"/>
      <w:b/>
      <w:bCs/>
      <w:color w:val="4757C4"/>
      <w:sz w:val="23"/>
      <w:szCs w:val="23"/>
      <w:lang w:eastAsia="ru-RU"/>
    </w:rPr>
  </w:style>
  <w:style w:type="paragraph" w:customStyle="1" w:styleId="subtitletext">
    <w:name w:val="subtitletext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9CC9"/>
      <w:sz w:val="24"/>
      <w:szCs w:val="24"/>
      <w:lang w:eastAsia="ru-RU"/>
    </w:rPr>
  </w:style>
  <w:style w:type="paragraph" w:customStyle="1" w:styleId="errortext">
    <w:name w:val="errortext"/>
    <w:basedOn w:val="a"/>
    <w:rsid w:val="00A008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oktext">
    <w:name w:val="oktext"/>
    <w:basedOn w:val="a"/>
    <w:rsid w:val="00A008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5000"/>
      <w:sz w:val="20"/>
      <w:szCs w:val="20"/>
      <w:lang w:eastAsia="ru-RU"/>
    </w:rPr>
  </w:style>
  <w:style w:type="paragraph" w:customStyle="1" w:styleId="notetext">
    <w:name w:val="notetext"/>
    <w:basedOn w:val="a"/>
    <w:rsid w:val="00A008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  <w:lang w:eastAsia="ru-RU"/>
    </w:rPr>
  </w:style>
  <w:style w:type="paragraph" w:customStyle="1" w:styleId="copy">
    <w:name w:val="copy"/>
    <w:basedOn w:val="a"/>
    <w:rsid w:val="00A008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  <w:lang w:eastAsia="ru-RU"/>
    </w:rPr>
  </w:style>
  <w:style w:type="paragraph" w:customStyle="1" w:styleId="incborder">
    <w:name w:val="incborder"/>
    <w:basedOn w:val="a"/>
    <w:rsid w:val="00A0080E"/>
    <w:pPr>
      <w:pBdr>
        <w:top w:val="single" w:sz="6" w:space="0" w:color="C1E6FF"/>
        <w:left w:val="single" w:sz="6" w:space="0" w:color="C1E6FF"/>
        <w:bottom w:val="single" w:sz="6" w:space="0" w:color="C1E6FF"/>
        <w:right w:val="single" w:sz="6" w:space="0" w:color="C1E6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image">
    <w:name w:val="incimage"/>
    <w:basedOn w:val="a"/>
    <w:rsid w:val="00A0080E"/>
    <w:pPr>
      <w:shd w:val="clear" w:color="auto" w:fill="C6DF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bg">
    <w:name w:val="incbg"/>
    <w:basedOn w:val="a"/>
    <w:rsid w:val="00A0080E"/>
    <w:pPr>
      <w:shd w:val="clear" w:color="auto" w:fill="C6DF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ncborder">
    <w:name w:val="sectincborder"/>
    <w:basedOn w:val="a"/>
    <w:rsid w:val="00A0080E"/>
    <w:pPr>
      <w:pBdr>
        <w:top w:val="single" w:sz="6" w:space="0" w:color="C1E6FF"/>
        <w:left w:val="single" w:sz="6" w:space="0" w:color="C1E6FF"/>
        <w:bottom w:val="single" w:sz="6" w:space="0" w:color="C1E6FF"/>
        <w:right w:val="single" w:sz="6" w:space="0" w:color="C1E6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ncimage">
    <w:name w:val="sectincimage"/>
    <w:basedOn w:val="a"/>
    <w:rsid w:val="00A0080E"/>
    <w:pPr>
      <w:shd w:val="clear" w:color="auto" w:fill="9BD0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ncbg">
    <w:name w:val="sectincbg"/>
    <w:basedOn w:val="a"/>
    <w:rsid w:val="00A0080E"/>
    <w:pPr>
      <w:shd w:val="clear" w:color="auto" w:fill="9BD0F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incbg">
    <w:name w:val="mainincbg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incline">
    <w:name w:val="mainincline"/>
    <w:basedOn w:val="a"/>
    <w:rsid w:val="00A0080E"/>
    <w:pPr>
      <w:shd w:val="clear" w:color="auto" w:fill="CDDC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inctitle">
    <w:name w:val="maininctitle"/>
    <w:basedOn w:val="a"/>
    <w:rsid w:val="00A008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791D3"/>
      <w:sz w:val="18"/>
      <w:szCs w:val="18"/>
      <w:lang w:eastAsia="ru-RU"/>
    </w:rPr>
  </w:style>
  <w:style w:type="paragraph" w:customStyle="1" w:styleId="tableborder-left">
    <w:name w:val="tableborder-left"/>
    <w:basedOn w:val="a"/>
    <w:rsid w:val="00A0080E"/>
    <w:pPr>
      <w:pBdr>
        <w:left w:val="single" w:sz="6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order-bottom">
    <w:name w:val="tableborder-bottom"/>
    <w:basedOn w:val="a"/>
    <w:rsid w:val="00A0080E"/>
    <w:pPr>
      <w:pBdr>
        <w:bottom w:val="single" w:sz="6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order-left-and-bottom">
    <w:name w:val="tableborder-left-and-bottom"/>
    <w:basedOn w:val="a"/>
    <w:rsid w:val="00A0080E"/>
    <w:pPr>
      <w:pBdr>
        <w:left w:val="single" w:sz="6" w:space="0" w:color="003366"/>
        <w:bottom w:val="single" w:sz="6" w:space="0" w:color="0033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odytext">
    <w:name w:val="tablebodytext"/>
    <w:basedOn w:val="a"/>
    <w:rsid w:val="00A008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ablefieldtext">
    <w:name w:val="tablefieldtext"/>
    <w:basedOn w:val="a"/>
    <w:rsid w:val="00A008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abletitletext">
    <w:name w:val="tabletitletext"/>
    <w:basedOn w:val="a"/>
    <w:rsid w:val="00A008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ableheadtext">
    <w:name w:val="tableheadtext"/>
    <w:basedOn w:val="a"/>
    <w:rsid w:val="00A008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5639A"/>
      <w:sz w:val="18"/>
      <w:szCs w:val="18"/>
      <w:lang w:eastAsia="ru-RU"/>
    </w:rPr>
  </w:style>
  <w:style w:type="paragraph" w:customStyle="1" w:styleId="tablebodylink">
    <w:name w:val="tablebodylink"/>
    <w:basedOn w:val="a"/>
    <w:rsid w:val="00A008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text">
    <w:name w:val="text"/>
    <w:basedOn w:val="a"/>
    <w:rsid w:val="00A008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textblue">
    <w:name w:val="textblue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66"/>
      <w:sz w:val="27"/>
      <w:szCs w:val="27"/>
      <w:lang w:eastAsia="ru-RU"/>
    </w:rPr>
  </w:style>
  <w:style w:type="paragraph" w:customStyle="1" w:styleId="textindigo">
    <w:name w:val="textindigo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7"/>
      <w:szCs w:val="27"/>
      <w:lang w:eastAsia="ru-RU"/>
    </w:rPr>
  </w:style>
  <w:style w:type="paragraph" w:customStyle="1" w:styleId="errorcolor">
    <w:name w:val="errorcolor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ccesscolor">
    <w:name w:val="successcolor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require">
    <w:name w:val="require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  <w:lang w:eastAsia="ru-RU"/>
    </w:rPr>
  </w:style>
  <w:style w:type="paragraph" w:customStyle="1" w:styleId="fon">
    <w:name w:val="fon"/>
    <w:basedOn w:val="a"/>
    <w:rsid w:val="00A0080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st">
    <w:name w:val="test"/>
    <w:basedOn w:val="a"/>
    <w:rsid w:val="00A0080E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top">
    <w:name w:val="htop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mid">
    <w:name w:val="hmid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ot">
    <w:name w:val="hbot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it">
    <w:name w:val="mtit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earch">
    <w:name w:val="tsearch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earch">
    <w:name w:val="fsearch"/>
    <w:basedOn w:val="a"/>
    <w:rsid w:val="00A0080E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30" w:after="0" w:line="240" w:lineRule="auto"/>
      <w:ind w:left="825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tfbut">
    <w:name w:val="tfbut"/>
    <w:basedOn w:val="a"/>
    <w:rsid w:val="00A0080E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3"/>
      <w:szCs w:val="23"/>
      <w:lang w:eastAsia="ru-RU"/>
    </w:rPr>
  </w:style>
  <w:style w:type="paragraph" w:customStyle="1" w:styleId="navleft">
    <w:name w:val="navleft"/>
    <w:basedOn w:val="a"/>
    <w:rsid w:val="00A0080E"/>
    <w:pPr>
      <w:pBdr>
        <w:left w:val="single" w:sz="12" w:space="0" w:color="D3E3F2"/>
        <w:right w:val="single" w:sz="6" w:space="0" w:color="D3E3F2"/>
      </w:pBdr>
      <w:spacing w:before="100" w:beforeAutospacing="1" w:after="100" w:afterAutospacing="1" w:line="240" w:lineRule="auto"/>
      <w:ind w:left="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enu">
    <w:name w:val="leftmenu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3F45"/>
      <w:sz w:val="29"/>
      <w:szCs w:val="29"/>
      <w:lang w:eastAsia="ru-RU"/>
    </w:rPr>
  </w:style>
  <w:style w:type="paragraph" w:customStyle="1" w:styleId="leftmenuact">
    <w:name w:val="leftmenuact"/>
    <w:basedOn w:val="a"/>
    <w:rsid w:val="00A0080E"/>
    <w:pPr>
      <w:pBdr>
        <w:top w:val="single" w:sz="6" w:space="0" w:color="D23F45"/>
        <w:left w:val="single" w:sz="6" w:space="0" w:color="D23F45"/>
        <w:bottom w:val="single" w:sz="6" w:space="0" w:color="D23F45"/>
        <w:right w:val="single" w:sz="6" w:space="0" w:color="D23F4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23F45"/>
      <w:sz w:val="29"/>
      <w:szCs w:val="29"/>
      <w:lang w:eastAsia="ru-RU"/>
    </w:rPr>
  </w:style>
  <w:style w:type="paragraph" w:customStyle="1" w:styleId="leftmenutd">
    <w:name w:val="leftmenutd"/>
    <w:basedOn w:val="a"/>
    <w:rsid w:val="00A0080E"/>
    <w:pPr>
      <w:pBdr>
        <w:top w:val="single" w:sz="6" w:space="4" w:color="D3E3F2"/>
        <w:bottom w:val="single" w:sz="6" w:space="4" w:color="D23F45"/>
        <w:right w:val="single" w:sz="24" w:space="4" w:color="D23F4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t">
    <w:name w:val="tst"/>
    <w:basedOn w:val="a"/>
    <w:rsid w:val="00A0080E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">
    <w:name w:val="topmenu"/>
    <w:basedOn w:val="a"/>
    <w:rsid w:val="00A008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topmenuact">
    <w:name w:val="topmenuact"/>
    <w:basedOn w:val="a"/>
    <w:rsid w:val="00A008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66"/>
      <w:sz w:val="18"/>
      <w:szCs w:val="18"/>
      <w:u w:val="single"/>
      <w:lang w:eastAsia="ru-RU"/>
    </w:rPr>
  </w:style>
  <w:style w:type="paragraph" w:customStyle="1" w:styleId="topmenutd">
    <w:name w:val="topmenutd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ng">
    <w:name w:val="lang"/>
    <w:basedOn w:val="a"/>
    <w:rsid w:val="00A008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u w:val="single"/>
      <w:lang w:eastAsia="ru-RU"/>
    </w:rPr>
  </w:style>
  <w:style w:type="paragraph" w:customStyle="1" w:styleId="langact">
    <w:name w:val="langact"/>
    <w:basedOn w:val="a"/>
    <w:rsid w:val="00A008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baskettext">
    <w:name w:val="baskettext"/>
    <w:basedOn w:val="a"/>
    <w:rsid w:val="00A008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7"/>
      <w:szCs w:val="17"/>
      <w:lang w:eastAsia="ru-RU"/>
    </w:rPr>
  </w:style>
  <w:style w:type="paragraph" w:customStyle="1" w:styleId="chain">
    <w:name w:val="chain"/>
    <w:basedOn w:val="a"/>
    <w:rsid w:val="00A008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19DCD"/>
      <w:sz w:val="15"/>
      <w:szCs w:val="15"/>
      <w:lang w:eastAsia="ru-RU"/>
    </w:rPr>
  </w:style>
  <w:style w:type="paragraph" w:customStyle="1" w:styleId="errormessage">
    <w:name w:val="errormessage"/>
    <w:basedOn w:val="a"/>
    <w:rsid w:val="00A008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starrequired">
    <w:name w:val="starrequired"/>
    <w:basedOn w:val="a"/>
    <w:rsid w:val="00A008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required">
    <w:name w:val="required"/>
    <w:basedOn w:val="a"/>
    <w:rsid w:val="00A0080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earch">
    <w:name w:val="search"/>
    <w:basedOn w:val="a"/>
    <w:rsid w:val="00A0080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menu">
    <w:name w:val="lmenu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bord">
    <w:name w:val="rbord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E9CC9"/>
      <w:sz w:val="24"/>
      <w:szCs w:val="24"/>
      <w:lang w:eastAsia="ru-RU"/>
    </w:rPr>
  </w:style>
  <w:style w:type="paragraph" w:customStyle="1" w:styleId="futbut">
    <w:name w:val="futbut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brow">
    <w:name w:val="fotbrow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">
    <w:name w:val="ftext"/>
    <w:basedOn w:val="a"/>
    <w:rsid w:val="00A0080E"/>
    <w:pPr>
      <w:spacing w:before="100" w:beforeAutospacing="1" w:after="100" w:afterAutospacing="1" w:line="525" w:lineRule="atLeas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witt">
    <w:name w:val="twitt"/>
    <w:basedOn w:val="a"/>
    <w:rsid w:val="00A0080E"/>
    <w:pPr>
      <w:spacing w:after="150" w:line="240" w:lineRule="auto"/>
      <w:ind w:left="15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text">
    <w:name w:val="typetext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1">
    <w:name w:val="smalltext1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5A8A"/>
      <w:sz w:val="24"/>
      <w:szCs w:val="24"/>
      <w:lang w:eastAsia="ru-RU"/>
    </w:rPr>
  </w:style>
  <w:style w:type="paragraph" w:customStyle="1" w:styleId="smalltext2">
    <w:name w:val="smalltext2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65A8A"/>
      <w:sz w:val="24"/>
      <w:szCs w:val="24"/>
      <w:lang w:eastAsia="ru-RU"/>
    </w:rPr>
  </w:style>
  <w:style w:type="paragraph" w:customStyle="1" w:styleId="typetext1">
    <w:name w:val="typetext1"/>
    <w:basedOn w:val="a"/>
    <w:rsid w:val="00A0080E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A0080E"/>
    <w:rPr>
      <w:vanish w:val="0"/>
      <w:webHidden w:val="0"/>
      <w:color w:val="486DAA"/>
      <w:specVanish w:val="0"/>
    </w:rPr>
  </w:style>
  <w:style w:type="paragraph" w:styleId="a6">
    <w:name w:val="Normal (Web)"/>
    <w:basedOn w:val="a"/>
    <w:uiPriority w:val="99"/>
    <w:semiHidden/>
    <w:unhideWhenUsed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00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2639</Words>
  <Characters>15046</Characters>
  <Application>Microsoft Office Word</Application>
  <DocSecurity>0</DocSecurity>
  <Lines>125</Lines>
  <Paragraphs>35</Paragraphs>
  <ScaleCrop>false</ScaleCrop>
  <Company/>
  <LinksUpToDate>false</LinksUpToDate>
  <CharactersWithSpaces>17650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anikitina</dc:creator>
  <cp:keywords/>
  <dc:description/>
  <cp:lastModifiedBy> </cp:lastModifiedBy>
  <cp:revision>2</cp:revision>
  <dcterms:created xsi:type="dcterms:W3CDTF">2012-02-14T06:32:00Z</dcterms:created>
  <dcterms:modified xsi:type="dcterms:W3CDTF">2012-02-14T06:32:00Z</dcterms:modified>
</cp:coreProperties>
</file>