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АРХАНГЕЛЬСКОЙ ОБЛАСТИ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АГЕНТСТВО ПО ТАРИФАМ И ЦЕНАМ АРХАНГЕЛЬСКОЙ ОБЛАСТИ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2012 г. N 99-э/24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</w:t>
      </w:r>
      <w:bookmarkStart w:id="1" w:name="_GoBack"/>
      <w:bookmarkEnd w:id="1"/>
      <w:r>
        <w:rPr>
          <w:rFonts w:ascii="Calibri" w:hAnsi="Calibri" w:cs="Calibri"/>
          <w:b/>
          <w:bCs/>
        </w:rPr>
        <w:t>ЫХ) ТАРИФОВ НА УСЛУГИ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АРХАНГЕЛЬСКОЙ ОБЛАСТИ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агентстве по тарифам и ценам Архангельской области, утвержденным постановлением Правительства Архангельской области от 18 декабря 2009 года N 214-пп, агентство по тарифам и ценам Архангельской области постановляет: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</w:t>
      </w:r>
      <w:hyperlink w:anchor="Par3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Архангельской области согласно приложению N 1.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настоящим пунктом, действуют с 1 января 2013 года по 30 июня 2013 года.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единые (котловые) </w:t>
      </w:r>
      <w:hyperlink w:anchor="Par8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Архангельской области согласно приложению N 2.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настоящим пунктом, действуют с 1 июля 2013 года по 31 декабря 2013 года.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1 января 2013 года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агентства по тарифам и ценам Архангельской области от 29 декабря 2011 года N 100-э/2 "О единых (котловых) тарифах на услуги по передаче электрической энергии по сетям Архангельской области".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агентства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В.М.ИКОННИКОВ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 N 1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99-э/24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АРХАНГЕЛЬСКОЙ ОБЛАСТИ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944"/>
        <w:gridCol w:w="1296"/>
        <w:gridCol w:w="1296"/>
        <w:gridCol w:w="1296"/>
        <w:gridCol w:w="1296"/>
        <w:gridCol w:w="1296"/>
      </w:tblGrid>
      <w:tr w:rsidR="00972CA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5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Диапазоны напряжения            </w:t>
            </w:r>
          </w:p>
        </w:tc>
      </w:tr>
      <w:tr w:rsidR="00972C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 1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 2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</w:t>
            </w:r>
          </w:p>
        </w:tc>
      </w:tr>
      <w:tr w:rsidR="00972CA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842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40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Тарифная группа "Население и потребители, приравненные к категории   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население"                                                             </w:t>
            </w:r>
          </w:p>
        </w:tc>
      </w:tr>
      <w:tr w:rsidR="00972CA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51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176,03                   </w:t>
            </w:r>
          </w:p>
        </w:tc>
      </w:tr>
      <w:tr w:rsidR="00972C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842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46"/>
            <w:bookmarkEnd w:id="5"/>
            <w:r>
              <w:rPr>
                <w:rFonts w:ascii="Courier New" w:hAnsi="Courier New" w:cs="Courier New"/>
                <w:sz w:val="18"/>
                <w:szCs w:val="18"/>
              </w:rPr>
              <w:t xml:space="preserve">Тарифная группа "Прочие потребители"                                   </w:t>
            </w:r>
          </w:p>
        </w:tc>
      </w:tr>
      <w:tr w:rsidR="00972CA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1 260,74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1 938,45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2 442,94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3 115,50 </w:t>
            </w:r>
          </w:p>
        </w:tc>
      </w:tr>
      <w:tr w:rsidR="00972CA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CA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       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содержание 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</w:t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месяц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625 308,85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675 870,53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675 432,28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516 347,00</w:t>
            </w:r>
          </w:p>
        </w:tc>
      </w:tr>
      <w:tr w:rsidR="00972CA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ставка за оплату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128,15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371,55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470,49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632,47  </w:t>
            </w:r>
          </w:p>
        </w:tc>
      </w:tr>
    </w:tbl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&lt;*&gt; Применяются к величине заявленной мощности потребителей услуг по передаче электрической энергии в точке поставки.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Организация является плательщиком налога на добавленную стоимость.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>Приложение N 2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99-э/24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81"/>
      <w:bookmarkEnd w:id="8"/>
      <w:r>
        <w:rPr>
          <w:rFonts w:ascii="Calibri" w:hAnsi="Calibri" w:cs="Calibri"/>
          <w:b/>
          <w:bCs/>
        </w:rPr>
        <w:t>ЕДИНЫЕ (КОТЛОВЫЕ) ТАРИФЫ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АРХАНГЕЛЬСКОЙ ОБЛАСТИ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944"/>
        <w:gridCol w:w="1296"/>
        <w:gridCol w:w="1296"/>
        <w:gridCol w:w="1296"/>
        <w:gridCol w:w="1296"/>
        <w:gridCol w:w="1296"/>
      </w:tblGrid>
      <w:tr w:rsidR="00972CA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5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Диапазоны напряжения            </w:t>
            </w:r>
          </w:p>
        </w:tc>
      </w:tr>
      <w:tr w:rsidR="00972C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 1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 2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</w:t>
            </w:r>
          </w:p>
        </w:tc>
      </w:tr>
      <w:tr w:rsidR="00972CA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842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9" w:name="Par90"/>
            <w:bookmarkEnd w:id="9"/>
            <w:r>
              <w:rPr>
                <w:rFonts w:ascii="Courier New" w:hAnsi="Courier New" w:cs="Courier New"/>
                <w:sz w:val="18"/>
                <w:szCs w:val="18"/>
              </w:rPr>
              <w:t xml:space="preserve">Тарифная группа "Население и потребители, приравненные к категории   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население"                                                             </w:t>
            </w:r>
          </w:p>
        </w:tc>
      </w:tr>
      <w:tr w:rsidR="00972CA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51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149,82                   </w:t>
            </w:r>
          </w:p>
        </w:tc>
      </w:tr>
      <w:tr w:rsidR="00972C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842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0" w:name="Par96"/>
            <w:bookmarkEnd w:id="10"/>
            <w:r>
              <w:rPr>
                <w:rFonts w:ascii="Courier New" w:hAnsi="Courier New" w:cs="Courier New"/>
                <w:sz w:val="18"/>
                <w:szCs w:val="18"/>
              </w:rPr>
              <w:t xml:space="preserve">Тарифная группа "Прочие потребители"                                   </w:t>
            </w:r>
          </w:p>
        </w:tc>
      </w:tr>
      <w:tr w:rsidR="00972CA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1 585,57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2 344,48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2 916,65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3 672,74 </w:t>
            </w:r>
          </w:p>
        </w:tc>
      </w:tr>
      <w:tr w:rsidR="00972CA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72CA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       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содержание 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</w:t>
            </w:r>
            <w:hyperlink w:anchor="Par11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748 126,02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783 171,55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770 614,39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580 657,34</w:t>
            </w:r>
          </w:p>
        </w:tc>
      </w:tr>
      <w:tr w:rsidR="00972CA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ставка за оплату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140,97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408,71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517,54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CA7" w:rsidRDefault="0097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695,72  </w:t>
            </w:r>
          </w:p>
        </w:tc>
      </w:tr>
    </w:tbl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7"/>
      <w:bookmarkEnd w:id="11"/>
      <w:r>
        <w:rPr>
          <w:rFonts w:ascii="Calibri" w:hAnsi="Calibri" w:cs="Calibri"/>
        </w:rPr>
        <w:t>&lt;*&gt; Применяются к величине заявленной мощности потребителей услуг по передаче электрической энергии в точке поставки.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Организация является плательщиком налога на добавленную стоимость.</w:t>
      </w: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CA7" w:rsidRDefault="0097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2CA7" w:rsidRDefault="00972C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5DE1" w:rsidRDefault="00972CA7"/>
    <w:sectPr w:rsidR="003D5DE1" w:rsidSect="008A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A7"/>
    <w:rsid w:val="00972CA7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BB7912E571AF5E7CB2D129EA537CEE8AC2165CF3B0AC03CC60E7AD72B309AR1T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BB7912E571AF5E7CB2D129EA537CEE8AC2165CE3E0CCA3DC60E7AD72B309A1F59F699DACDC7FDE11FCBR6T2H" TargetMode="External"/><Relationship Id="rId5" Type="http://schemas.openxmlformats.org/officeDocument/2006/relationships/hyperlink" Target="consultantplus://offline/ref=31DBB7912E571AF5E7CB331F88C969C2EAA37F6ACC3B069E6199552780R2T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2014-06-25T07:19:00Z</dcterms:created>
  <dcterms:modified xsi:type="dcterms:W3CDTF">2014-06-25T07:20:00Z</dcterms:modified>
</cp:coreProperties>
</file>