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53" w:rsidRDefault="005266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lang w:val="en-US"/>
        </w:rPr>
        <w:t xml:space="preserve"> </w:t>
      </w:r>
      <w:r w:rsidR="00525453"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 w:rsidR="00525453"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 w:rsidR="00525453">
        <w:rPr>
          <w:rFonts w:ascii="Calibri" w:hAnsi="Calibri" w:cs="Calibri"/>
        </w:rPr>
        <w:br/>
      </w: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ДЕПАРТАМЕНТ СМОЛЕНСКОЙ ОБЛАСТИ ПО ЭНЕРГЕТИКЕ,</w:t>
      </w: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ЭНЕРГОЭФФЕКТИВНОСТИ, ТАРИФНОЙ ПОЛИТИКЕ</w:t>
      </w: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апреля 2015 г. N 57</w:t>
      </w: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ПОСТАНОВЛЕНИЕ ДЕПАРТАМЕНТА</w:t>
      </w: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СМОЛЕНСКОЙ ОБЛАСТИ ПО ЭНЕРГЕТИКЕ, ЭНЕРГОЭФФЕКТИВНОСТИ,</w:t>
      </w: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ТАРИФНОЙ ПОЛИТИКЕ ОТ 25.12.2014 N 473</w:t>
      </w: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Смоленской области по энергетике,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>, тарифной политике постановляет:</w:t>
      </w: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</w:t>
      </w:r>
      <w:hyperlink r:id="rId6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постановлению Департамента Смоленской области по энергетике,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 xml:space="preserve">, тарифной политике от 25.12.2014 N 473 "Об установлении единых (котловых) тарифов на услуги по передаче электрической энергии по электрическим сетям территориальных сетевых организаций Смоленской области" (в редакции постановлений Департамента Смоленской области по энергетике,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>, тарифной политике от 30.01.2015 N 9, от 30.03.2015 N 38) изменение, изложив его в новой</w:t>
      </w:r>
      <w:proofErr w:type="gramEnd"/>
      <w:r>
        <w:rPr>
          <w:rFonts w:ascii="Calibri" w:hAnsi="Calibri" w:cs="Calibri"/>
        </w:rPr>
        <w:t xml:space="preserve"> </w:t>
      </w:r>
      <w:hyperlink w:anchor="Par21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 xml:space="preserve"> (прилагается).</w:t>
      </w: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Департамента</w:t>
      </w: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О.А.РЫБАЛКО</w:t>
      </w: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188B" w:rsidRPr="0052665A" w:rsidRDefault="00A118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1"/>
      <w:bookmarkEnd w:id="2"/>
    </w:p>
    <w:p w:rsidR="00A1188B" w:rsidRPr="0052665A" w:rsidRDefault="00A118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1188B" w:rsidRPr="0052665A" w:rsidRDefault="00A118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1188B" w:rsidRPr="0052665A" w:rsidRDefault="00A118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1188B" w:rsidRPr="0052665A" w:rsidRDefault="00A118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1188B" w:rsidRPr="0052665A" w:rsidRDefault="00A118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1188B" w:rsidRPr="0052665A" w:rsidRDefault="00A118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1188B" w:rsidRPr="0052665A" w:rsidRDefault="00A118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1188B" w:rsidRPr="0052665A" w:rsidRDefault="00A118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1188B" w:rsidRPr="0052665A" w:rsidRDefault="00A118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1188B" w:rsidRPr="0052665A" w:rsidRDefault="00A118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1188B" w:rsidRPr="0052665A" w:rsidRDefault="00A118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1188B" w:rsidRPr="0052665A" w:rsidRDefault="00A118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1188B" w:rsidRPr="0052665A" w:rsidRDefault="00A118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1188B" w:rsidRPr="0052665A" w:rsidRDefault="00A118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1188B" w:rsidRPr="0052665A" w:rsidRDefault="00A118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1188B" w:rsidRPr="0052665A" w:rsidRDefault="00A118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1188B" w:rsidRPr="0052665A" w:rsidRDefault="00A118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1188B" w:rsidRPr="0052665A" w:rsidRDefault="00A118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1188B" w:rsidRPr="0052665A" w:rsidRDefault="00A118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1188B" w:rsidRPr="0052665A" w:rsidRDefault="00A118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1188B" w:rsidRPr="0052665A" w:rsidRDefault="00A118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1188B" w:rsidRPr="0052665A" w:rsidRDefault="00A118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1188B" w:rsidRPr="0052665A" w:rsidRDefault="00A118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1188B" w:rsidRPr="0052665A" w:rsidRDefault="00A118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</w:t>
      </w: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энергетике,</w:t>
      </w: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>,</w:t>
      </w: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тарифной политике</w:t>
      </w: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28.04.2015 N 57</w:t>
      </w: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0"/>
      <w:bookmarkEnd w:id="3"/>
      <w:r>
        <w:rPr>
          <w:rFonts w:ascii="Calibri" w:hAnsi="Calibri" w:cs="Calibri"/>
        </w:rPr>
        <w:t>Единые (котловые) тарифы на услуги по передаче электрической</w:t>
      </w: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энергии по сетям территориальных сетевых организаций</w:t>
      </w: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 прочим потребителям на 2015 год</w:t>
      </w: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tbl>
      <w:tblPr>
        <w:tblW w:w="11027" w:type="dxa"/>
        <w:tblInd w:w="-80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928"/>
        <w:gridCol w:w="1531"/>
        <w:gridCol w:w="1134"/>
        <w:gridCol w:w="708"/>
        <w:gridCol w:w="1134"/>
        <w:gridCol w:w="1304"/>
        <w:gridCol w:w="1304"/>
        <w:gridCol w:w="1304"/>
      </w:tblGrid>
      <w:tr w:rsidR="00525453" w:rsidTr="00A1188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525453" w:rsidTr="00A1188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525453" w:rsidTr="00A11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525453" w:rsidTr="00A11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bookmarkStart w:id="4" w:name="Par55"/>
            <w:bookmarkEnd w:id="4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6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525453" w:rsidTr="00A11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0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тариф:</w:t>
            </w:r>
          </w:p>
        </w:tc>
      </w:tr>
      <w:tr w:rsidR="00525453" w:rsidTr="00A11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727203,94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1373048,97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1322018,66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1211995,97</w:t>
            </w:r>
          </w:p>
        </w:tc>
      </w:tr>
      <w:tr w:rsidR="00525453" w:rsidTr="00A11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152,72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341,75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361,43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821,34</w:t>
            </w:r>
          </w:p>
        </w:tc>
      </w:tr>
      <w:tr w:rsidR="00525453" w:rsidTr="00A11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1,46660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2,73667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2,77923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3,44719</w:t>
            </w:r>
          </w:p>
        </w:tc>
      </w:tr>
      <w:tr w:rsidR="00525453" w:rsidTr="00A11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823786,62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343515,97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43139,28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273640,16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163491,22</w:t>
            </w:r>
          </w:p>
        </w:tc>
      </w:tr>
      <w:tr w:rsidR="00525453" w:rsidTr="00A11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 &lt;5&gt;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948,08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732,41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787,18</w:t>
            </w:r>
          </w:p>
        </w:tc>
      </w:tr>
      <w:tr w:rsidR="00525453" w:rsidTr="00A11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bookmarkStart w:id="5" w:name="Par105"/>
            <w:bookmarkEnd w:id="5"/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6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525453" w:rsidTr="00A11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0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тариф:</w:t>
            </w:r>
          </w:p>
        </w:tc>
      </w:tr>
      <w:tr w:rsidR="00525453" w:rsidTr="00A11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875081,76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1664654,06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1581266,77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1604101,35</w:t>
            </w:r>
          </w:p>
        </w:tc>
      </w:tr>
      <w:tr w:rsidR="00525453" w:rsidTr="00A11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94,52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275,97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609,25</w:t>
            </w:r>
          </w:p>
        </w:tc>
      </w:tr>
      <w:tr w:rsidR="00525453" w:rsidTr="00A11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1,57659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2,94192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2,98768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3,70573</w:t>
            </w:r>
          </w:p>
        </w:tc>
      </w:tr>
      <w:tr w:rsidR="00525453" w:rsidTr="00A11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918570,35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395731,37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48863,23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320363,72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153612,03</w:t>
            </w:r>
          </w:p>
        </w:tc>
      </w:tr>
      <w:tr w:rsidR="00525453" w:rsidTr="00A118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 &lt;5&gt;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889,28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833,60</w:t>
            </w:r>
          </w:p>
        </w:tc>
      </w:tr>
    </w:tbl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56"/>
      <w:bookmarkEnd w:id="6"/>
      <w:r>
        <w:rPr>
          <w:rFonts w:ascii="Calibri" w:hAnsi="Calibri" w:cs="Calibri"/>
        </w:rPr>
        <w:t>Размер экономически обоснованных единых (котловых) тарифов</w:t>
      </w: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сетевых организаций Смоленской области</w:t>
      </w: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прочим потребителям на 2015 год</w:t>
      </w: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438"/>
        <w:gridCol w:w="1531"/>
        <w:gridCol w:w="1134"/>
        <w:gridCol w:w="1134"/>
        <w:gridCol w:w="831"/>
        <w:gridCol w:w="454"/>
        <w:gridCol w:w="1474"/>
      </w:tblGrid>
      <w:tr w:rsidR="00525453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25453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Смоленской области: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Экономически обоснованные единые (котловые) тарифы на услуги по передаче электрической энергии </w:t>
            </w:r>
            <w:r>
              <w:rPr>
                <w:rFonts w:ascii="Calibri" w:hAnsi="Calibri" w:cs="Calibri"/>
              </w:rPr>
              <w:lastRenderedPageBreak/>
              <w:t>(тарифы указываются без учета НДС):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полугодие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1.1.1.</w:t>
            </w:r>
          </w:p>
        </w:tc>
        <w:tc>
          <w:tcPr>
            <w:tcW w:w="8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тариф: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443139,30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900323,46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974597,92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954879,38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218,22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591,22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1,78859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2,04683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2,66002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8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тариф: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483145,50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979129,12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1062705,36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1172264,01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214,84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275,97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609,25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1,81887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2,09840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2,87213</w:t>
            </w:r>
          </w:p>
        </w:tc>
      </w:tr>
      <w:tr w:rsidR="00525453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Смоленской области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Смоленской области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525453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ФКУ ИК-6 УФСИН России по Смоленской области, г. Рославль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612,0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"Вяземский ГОК", г. Вязьма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254,7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ГУП города Москвы "Литейно-прокатный завод" (производственный комплекс в г. Ярцево)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17543,5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Рославльский</w:t>
            </w:r>
            <w:proofErr w:type="spellEnd"/>
            <w:r>
              <w:rPr>
                <w:rFonts w:ascii="Calibri" w:hAnsi="Calibri" w:cs="Calibri"/>
              </w:rPr>
              <w:t xml:space="preserve"> автоагрегатный завод АМО ЗИЛ", г. Рославль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1817,3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Московская дирекция по энергообеспечению СП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- филиал ОАО "РЖД" (на территории Смоленской области)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20418,7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"Айсберг", г. Смоленск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648,1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ВНПО "Ресурс", г. Вязьма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1227,0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"Вяземский домостроительный комбинат", г. Вязьма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251,1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"Пирамида", г. Смоленск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1016,1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Сафоновский</w:t>
            </w:r>
            <w:proofErr w:type="spellEnd"/>
            <w:r>
              <w:rPr>
                <w:rFonts w:ascii="Calibri" w:hAnsi="Calibri" w:cs="Calibri"/>
              </w:rPr>
              <w:t xml:space="preserve"> электромашиностроительный завод", г. Сафоново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911,2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"Смоленский авиационный завод", г. Смоленск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667,1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"Смоленский завод "Кентавр", г. Смоленск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553,8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(на территории Смоленской области)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70239,6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Торгмаш</w:t>
            </w:r>
            <w:proofErr w:type="spellEnd"/>
            <w:r>
              <w:rPr>
                <w:rFonts w:ascii="Calibri" w:hAnsi="Calibri" w:cs="Calibri"/>
              </w:rPr>
              <w:t>", г. Смоленск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1028,9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ЭлС</w:t>
            </w:r>
            <w:proofErr w:type="spellEnd"/>
            <w:r>
              <w:rPr>
                <w:rFonts w:ascii="Calibri" w:hAnsi="Calibri" w:cs="Calibri"/>
              </w:rPr>
              <w:t>", г. Десногорск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84883,3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3205,9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Промконсервы</w:t>
            </w:r>
            <w:proofErr w:type="spellEnd"/>
            <w:r>
              <w:rPr>
                <w:rFonts w:ascii="Calibri" w:hAnsi="Calibri" w:cs="Calibri"/>
              </w:rPr>
              <w:t>", г. Рудня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283,9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"Гнездово", г. Смоленск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Горэлектро</w:t>
            </w:r>
            <w:proofErr w:type="spellEnd"/>
            <w:r>
              <w:rPr>
                <w:rFonts w:ascii="Calibri" w:hAnsi="Calibri" w:cs="Calibri"/>
              </w:rPr>
              <w:t>", г. Смоленск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16566,2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Ярцевский</w:t>
            </w:r>
            <w:proofErr w:type="spellEnd"/>
            <w:r>
              <w:rPr>
                <w:rFonts w:ascii="Calibri" w:hAnsi="Calibri" w:cs="Calibri"/>
              </w:rPr>
              <w:t xml:space="preserve"> хлопчатобумажный комбинат", г. Ярцево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86,9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"Комбинат коммунальных предприятий" МО "город Десногорск"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3504,4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"Электро-Сетевая Компания "СИТИ" (на территории Смоленской области)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2785,8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"КОЛТЭК - </w:t>
            </w:r>
            <w:proofErr w:type="spellStart"/>
            <w:r>
              <w:rPr>
                <w:rFonts w:ascii="Calibri" w:hAnsi="Calibri" w:cs="Calibri"/>
              </w:rPr>
              <w:t>спецреагенты</w:t>
            </w:r>
            <w:proofErr w:type="spellEnd"/>
            <w:r>
              <w:rPr>
                <w:rFonts w:ascii="Calibri" w:hAnsi="Calibri" w:cs="Calibri"/>
              </w:rPr>
              <w:t>", г. Сафоново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1427,6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"Монтажник", г. Смоленск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"М.Т.К.", г. Смоленск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256,6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Электропроммонтаж</w:t>
            </w:r>
            <w:proofErr w:type="spellEnd"/>
            <w:r>
              <w:rPr>
                <w:rFonts w:ascii="Calibri" w:hAnsi="Calibri" w:cs="Calibri"/>
              </w:rPr>
              <w:t>", г. Смоленск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3075,9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 Сорин В.Я., г. Смоленск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369,0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БетЭлТранс</w:t>
            </w:r>
            <w:proofErr w:type="spellEnd"/>
            <w:r>
              <w:rPr>
                <w:rFonts w:ascii="Calibri" w:hAnsi="Calibri" w:cs="Calibri"/>
              </w:rPr>
              <w:t>" - филиал Вяземский завод ЖБШ, г. Вязьма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5697,1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"Меркурий", г. Смоленск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414,3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Россмолбакалея</w:t>
            </w:r>
            <w:proofErr w:type="spellEnd"/>
            <w:r>
              <w:rPr>
                <w:rFonts w:ascii="Calibri" w:hAnsi="Calibri" w:cs="Calibri"/>
              </w:rPr>
              <w:t>", г. Смоленск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242,9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gramStart"/>
            <w:r>
              <w:rPr>
                <w:rFonts w:ascii="Calibri" w:hAnsi="Calibri" w:cs="Calibri"/>
              </w:rPr>
              <w:t>Смоленское</w:t>
            </w:r>
            <w:proofErr w:type="gramEnd"/>
            <w:r>
              <w:rPr>
                <w:rFonts w:ascii="Calibri" w:hAnsi="Calibri" w:cs="Calibri"/>
              </w:rPr>
              <w:t xml:space="preserve"> АТП", г. Смоленск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155,6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"ЭТС", г. Смоленск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1039,0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 Бояринов В.В., г. Смоленск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420,0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"Стимул", (с. </w:t>
            </w:r>
            <w:proofErr w:type="gramStart"/>
            <w:r>
              <w:rPr>
                <w:rFonts w:ascii="Calibri" w:hAnsi="Calibri" w:cs="Calibri"/>
              </w:rPr>
              <w:t>Вязьма-Брянская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1295,7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 Петроченков, г. Смоленск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925,7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"Прогресс плюс", г. Рославль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8671,8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"Кутузовское", г. Ельня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8625,0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Электросетьремонт</w:t>
            </w:r>
            <w:proofErr w:type="spellEnd"/>
            <w:r>
              <w:rPr>
                <w:rFonts w:ascii="Calibri" w:hAnsi="Calibri" w:cs="Calibri"/>
              </w:rPr>
              <w:t>", г. Смоленск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11319,2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трест "</w:t>
            </w:r>
            <w:proofErr w:type="spellStart"/>
            <w:r>
              <w:rPr>
                <w:rFonts w:ascii="Calibri" w:hAnsi="Calibri" w:cs="Calibri"/>
              </w:rPr>
              <w:t>Смоленскагропромстрой</w:t>
            </w:r>
            <w:proofErr w:type="spellEnd"/>
            <w:r>
              <w:rPr>
                <w:rFonts w:ascii="Calibri" w:hAnsi="Calibri" w:cs="Calibri"/>
              </w:rPr>
              <w:t>", г. Смоленск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1529,9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 Свидлер В.М., г. Смоленск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429,6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"Здание </w:t>
            </w:r>
            <w:proofErr w:type="spellStart"/>
            <w:r>
              <w:rPr>
                <w:rFonts w:ascii="Calibri" w:hAnsi="Calibri" w:cs="Calibri"/>
              </w:rPr>
              <w:t>Амипресс</w:t>
            </w:r>
            <w:proofErr w:type="spellEnd"/>
            <w:r>
              <w:rPr>
                <w:rFonts w:ascii="Calibri" w:hAnsi="Calibri" w:cs="Calibri"/>
              </w:rPr>
              <w:t>", г. Смоленск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593,8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"ТСО N 3", г. Смоленск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13249,1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"Электросеть-Сафоново", г. Сафоново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9884,1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ОГУЭП "</w:t>
            </w:r>
            <w:proofErr w:type="spellStart"/>
            <w:r>
              <w:rPr>
                <w:rFonts w:ascii="Calibri" w:hAnsi="Calibri" w:cs="Calibri"/>
              </w:rPr>
              <w:t>Смоленскоблкоммунэнерго</w:t>
            </w:r>
            <w:proofErr w:type="spellEnd"/>
            <w:r>
              <w:rPr>
                <w:rFonts w:ascii="Calibri" w:hAnsi="Calibri" w:cs="Calibri"/>
              </w:rPr>
              <w:t>", г. Смоленск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26468,4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Промэнергосеть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13451,1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"Смоленский ДОК"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Центра" на территории Смоленской области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4811488,8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16939,0</w:t>
            </w:r>
          </w:p>
        </w:tc>
      </w:tr>
      <w:tr w:rsidR="00525453"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5146436,5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20144,9</w:t>
            </w:r>
          </w:p>
        </w:tc>
      </w:tr>
    </w:tbl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188B" w:rsidRDefault="00A118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  <w:bookmarkStart w:id="7" w:name="Par427"/>
      <w:bookmarkEnd w:id="7"/>
    </w:p>
    <w:p w:rsidR="00A1188B" w:rsidRDefault="00A118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A1188B" w:rsidRDefault="00A118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A1188B" w:rsidRDefault="00A118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A1188B" w:rsidRDefault="00A118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  <w:sectPr w:rsidR="00A1188B" w:rsidSect="00A1188B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A1188B" w:rsidRDefault="00A118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для целей расчета единых (котловых) тарифов</w:t>
      </w: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сетевых организаций Смоленской области</w:t>
      </w: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прочим потребителям на 2015 год</w:t>
      </w:r>
    </w:p>
    <w:p w:rsidR="00525453" w:rsidRDefault="00525453" w:rsidP="00A1188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11256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28"/>
        <w:gridCol w:w="1700"/>
        <w:gridCol w:w="569"/>
        <w:gridCol w:w="678"/>
        <w:gridCol w:w="624"/>
        <w:gridCol w:w="794"/>
        <w:gridCol w:w="680"/>
        <w:gridCol w:w="794"/>
        <w:gridCol w:w="794"/>
        <w:gridCol w:w="624"/>
        <w:gridCol w:w="794"/>
        <w:gridCol w:w="680"/>
        <w:gridCol w:w="794"/>
        <w:gridCol w:w="794"/>
      </w:tblGrid>
      <w:tr w:rsidR="00525453" w:rsidTr="00B115A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525453" w:rsidTr="00B115A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525453" w:rsidTr="00B115A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BH-I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BH-I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525453" w:rsidTr="00B11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525453" w:rsidTr="00B11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bookmarkStart w:id="8" w:name="Par465"/>
            <w:bookmarkEnd w:id="8"/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Смоленской области</w:t>
            </w:r>
          </w:p>
        </w:tc>
      </w:tr>
      <w:tr w:rsidR="00525453" w:rsidTr="00B11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" w:hAnsi="Calibri" w:cs="Calibri"/>
              </w:rPr>
            </w:pPr>
            <w:bookmarkStart w:id="9" w:name="Par466"/>
            <w:bookmarkEnd w:id="9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605,83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634,86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596,16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617,11</w:t>
            </w:r>
          </w:p>
        </w:tc>
      </w:tr>
      <w:tr w:rsidR="00525453" w:rsidTr="00B11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" w:hAnsi="Calibri" w:cs="Calibri"/>
              </w:rPr>
            </w:pPr>
            <w:bookmarkStart w:id="10" w:name="Par479"/>
            <w:bookmarkEnd w:id="10"/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05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525453" w:rsidTr="00B115A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05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указанных в </w:t>
            </w:r>
            <w:hyperlink w:anchor="Par496" w:history="1">
              <w:r>
                <w:rPr>
                  <w:rFonts w:ascii="Calibri" w:hAnsi="Calibri" w:cs="Calibri"/>
                  <w:color w:val="0000FF"/>
                </w:rPr>
                <w:t>пунктах 1.1.2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511" w:history="1">
              <w:r>
                <w:rPr>
                  <w:rFonts w:ascii="Calibri" w:hAnsi="Calibri" w:cs="Calibri"/>
                  <w:color w:val="0000FF"/>
                </w:rPr>
                <w:t>1.1.3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525453" w:rsidTr="00B115A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246,51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246,14</w:t>
            </w:r>
          </w:p>
        </w:tc>
      </w:tr>
      <w:tr w:rsidR="00525453" w:rsidTr="00B115A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1" w:name="Par496"/>
            <w:bookmarkEnd w:id="11"/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105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нему:</w:t>
            </w:r>
          </w:p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525453" w:rsidTr="00B115A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40,78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44,83</w:t>
            </w:r>
          </w:p>
        </w:tc>
      </w:tr>
      <w:tr w:rsidR="00525453" w:rsidTr="00B115A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2" w:name="Par511"/>
            <w:bookmarkEnd w:id="12"/>
            <w:r>
              <w:rPr>
                <w:rFonts w:ascii="Calibri" w:hAnsi="Calibri" w:cs="Calibri"/>
              </w:rPr>
              <w:t>1.1.3.</w:t>
            </w:r>
          </w:p>
        </w:tc>
        <w:tc>
          <w:tcPr>
            <w:tcW w:w="105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пунктах,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нему:</w:t>
            </w:r>
          </w:p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</w:t>
            </w:r>
            <w:r>
              <w:rPr>
                <w:rFonts w:ascii="Calibri" w:hAnsi="Calibri" w:cs="Calibri"/>
              </w:rPr>
              <w:lastRenderedPageBreak/>
              <w:t>энергии</w:t>
            </w:r>
          </w:p>
        </w:tc>
      </w:tr>
      <w:tr w:rsidR="00525453" w:rsidTr="00B115A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128,91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130,00</w:t>
            </w:r>
          </w:p>
        </w:tc>
      </w:tr>
      <w:tr w:rsidR="00525453" w:rsidTr="00B115A6">
        <w:tc>
          <w:tcPr>
            <w:tcW w:w="1125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КонсультантПлюс</w:t>
            </w:r>
            <w:proofErr w:type="spellEnd"/>
            <w:r>
              <w:rPr>
                <w:rFonts w:ascii="Calibri" w:hAnsi="Calibri" w:cs="Calibri"/>
              </w:rPr>
              <w:t>: примечание.</w:t>
            </w:r>
          </w:p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официальном тексте документа, видимо, допущена опечатка: имеется в виду пункт</w:t>
            </w:r>
          </w:p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71(1) подраздела "Определение цен (тарифов) на электрическую энергию (мощность),</w:t>
            </w:r>
          </w:p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поставляемую</w:t>
            </w:r>
            <w:proofErr w:type="gramEnd"/>
            <w:r>
              <w:rPr>
                <w:rFonts w:ascii="Calibri" w:hAnsi="Calibri" w:cs="Calibri"/>
              </w:rPr>
              <w:t xml:space="preserve"> населению и приравненным к нему категориям потребителей" раздела VI</w:t>
            </w:r>
          </w:p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"Ценообразование на розничном рынке" Основ ценообразования в области</w:t>
            </w:r>
          </w:p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регулируемых цен (тарифов) в электроэнергетике, утвержденных Постановлением</w:t>
            </w:r>
          </w:p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Правительства Российской Федерации от 29.12.2011 N 1178.</w:t>
            </w:r>
          </w:p>
          <w:p w:rsidR="00525453" w:rsidRDefault="005254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525453" w:rsidTr="00B115A6">
        <w:tc>
          <w:tcPr>
            <w:tcW w:w="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</w:t>
            </w:r>
          </w:p>
        </w:tc>
        <w:tc>
          <w:tcPr>
            <w:tcW w:w="103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525453" w:rsidTr="00B115A6"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1.1.4.1.</w:t>
            </w:r>
          </w:p>
        </w:tc>
        <w:tc>
          <w:tcPr>
            <w:tcW w:w="10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525453" w:rsidTr="00B115A6">
        <w:tc>
          <w:tcPr>
            <w:tcW w:w="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5,08</w:t>
            </w:r>
          </w:p>
        </w:tc>
      </w:tr>
      <w:tr w:rsidR="00525453" w:rsidTr="00B115A6"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1.1.4.2.</w:t>
            </w:r>
          </w:p>
        </w:tc>
        <w:tc>
          <w:tcPr>
            <w:tcW w:w="10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525453" w:rsidTr="00B115A6">
        <w:tc>
          <w:tcPr>
            <w:tcW w:w="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3,83</w:t>
            </w:r>
          </w:p>
        </w:tc>
      </w:tr>
      <w:tr w:rsidR="00525453" w:rsidTr="00B115A6"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1.1.4.3.</w:t>
            </w:r>
          </w:p>
        </w:tc>
        <w:tc>
          <w:tcPr>
            <w:tcW w:w="10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525453" w:rsidTr="00B115A6">
        <w:tc>
          <w:tcPr>
            <w:tcW w:w="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</w:t>
            </w:r>
          </w:p>
        </w:tc>
      </w:tr>
      <w:tr w:rsidR="00525453" w:rsidTr="00B115A6"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1.1.4.4.</w:t>
            </w:r>
          </w:p>
        </w:tc>
        <w:tc>
          <w:tcPr>
            <w:tcW w:w="10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населением и приравненным к нему категориям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</w:tr>
      <w:tr w:rsidR="00525453" w:rsidTr="00B115A6">
        <w:tc>
          <w:tcPr>
            <w:tcW w:w="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25453" w:rsidTr="00B115A6"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1.1.4.5.</w:t>
            </w:r>
          </w:p>
        </w:tc>
        <w:tc>
          <w:tcPr>
            <w:tcW w:w="10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приобретающие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525453" w:rsidTr="00B115A6">
        <w:tc>
          <w:tcPr>
            <w:tcW w:w="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2,17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2,23</w:t>
            </w:r>
          </w:p>
        </w:tc>
      </w:tr>
      <w:tr w:rsidR="00525453" w:rsidTr="00B115A6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" w:hAnsi="Calibri" w:cs="Calibri"/>
              </w:rPr>
            </w:pPr>
            <w:bookmarkStart w:id="13" w:name="Par583"/>
            <w:bookmarkEnd w:id="13"/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0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(сверх социальной нормы потребления электроэнергии) &lt;2&gt;</w:t>
            </w:r>
          </w:p>
        </w:tc>
      </w:tr>
      <w:tr w:rsidR="00525453" w:rsidTr="00B115A6"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1.2.1.</w:t>
            </w:r>
          </w:p>
        </w:tc>
        <w:tc>
          <w:tcPr>
            <w:tcW w:w="10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указанных в </w:t>
            </w:r>
            <w:hyperlink w:anchor="Par600" w:history="1">
              <w:r>
                <w:rPr>
                  <w:rFonts w:ascii="Calibri" w:hAnsi="Calibri" w:cs="Calibri"/>
                  <w:color w:val="0000FF"/>
                </w:rPr>
                <w:t>пунктах 1.2.2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615" w:history="1">
              <w:r>
                <w:rPr>
                  <w:rFonts w:ascii="Calibri" w:hAnsi="Calibri" w:cs="Calibri"/>
                  <w:color w:val="0000FF"/>
                </w:rPr>
                <w:t>1.2.3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525453" w:rsidTr="00B115A6">
        <w:tc>
          <w:tcPr>
            <w:tcW w:w="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 w:rsidTr="00B115A6"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4" w:name="Par600"/>
            <w:bookmarkEnd w:id="14"/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10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нему:</w:t>
            </w:r>
          </w:p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525453" w:rsidTr="00B115A6">
        <w:tc>
          <w:tcPr>
            <w:tcW w:w="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</w:t>
            </w:r>
            <w:r>
              <w:rPr>
                <w:rFonts w:ascii="Calibri" w:hAnsi="Calibri" w:cs="Calibri"/>
              </w:rPr>
              <w:lastRenderedPageBreak/>
              <w:t>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 w:rsidTr="00B115A6"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5" w:name="Par615"/>
            <w:bookmarkEnd w:id="15"/>
            <w:r>
              <w:rPr>
                <w:rFonts w:ascii="Calibri" w:hAnsi="Calibri" w:cs="Calibri"/>
              </w:rPr>
              <w:lastRenderedPageBreak/>
              <w:t>1.2.3.</w:t>
            </w:r>
          </w:p>
        </w:tc>
        <w:tc>
          <w:tcPr>
            <w:tcW w:w="10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пунктах,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нему:</w:t>
            </w:r>
          </w:p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525453" w:rsidTr="00B115A6">
        <w:tc>
          <w:tcPr>
            <w:tcW w:w="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 w:rsidTr="00B115A6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</w:t>
            </w:r>
          </w:p>
        </w:tc>
        <w:tc>
          <w:tcPr>
            <w:tcW w:w="10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525453" w:rsidTr="00B115A6"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1.2.4.1.</w:t>
            </w:r>
          </w:p>
        </w:tc>
        <w:tc>
          <w:tcPr>
            <w:tcW w:w="10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525453" w:rsidTr="00B115A6">
        <w:tc>
          <w:tcPr>
            <w:tcW w:w="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</w:t>
            </w:r>
            <w:r>
              <w:rPr>
                <w:rFonts w:ascii="Calibri" w:hAnsi="Calibri" w:cs="Calibri"/>
              </w:rPr>
              <w:lastRenderedPageBreak/>
              <w:t>и по двум и по трем зонам суток)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 w:rsidTr="00B115A6"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1.2.4.2.</w:t>
            </w:r>
          </w:p>
        </w:tc>
        <w:tc>
          <w:tcPr>
            <w:tcW w:w="10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525453" w:rsidTr="00B115A6">
        <w:tc>
          <w:tcPr>
            <w:tcW w:w="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 w:rsidTr="00B115A6"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1.2.4.3.</w:t>
            </w:r>
          </w:p>
        </w:tc>
        <w:tc>
          <w:tcPr>
            <w:tcW w:w="10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525453" w:rsidTr="00B115A6">
        <w:tc>
          <w:tcPr>
            <w:tcW w:w="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 w:rsidTr="00B115A6"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1.2.4.4.</w:t>
            </w:r>
          </w:p>
        </w:tc>
        <w:tc>
          <w:tcPr>
            <w:tcW w:w="10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населением и приравненными к нему категориями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</w:tr>
      <w:tr w:rsidR="00525453" w:rsidTr="00B115A6">
        <w:tc>
          <w:tcPr>
            <w:tcW w:w="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 w:rsidTr="00B115A6"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1.2.4.5.</w:t>
            </w:r>
          </w:p>
        </w:tc>
        <w:tc>
          <w:tcPr>
            <w:tcW w:w="10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Объединения граждан, приобретающие электрическую энергию (мощность) для использования в </w:t>
            </w:r>
            <w:r>
              <w:rPr>
                <w:rFonts w:ascii="Calibri" w:hAnsi="Calibri" w:cs="Calibri"/>
              </w:rPr>
              <w:lastRenderedPageBreak/>
              <w:t>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525453" w:rsidTr="00B115A6">
        <w:tc>
          <w:tcPr>
            <w:tcW w:w="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 w:rsidTr="00B115A6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" w:hAnsi="Calibri" w:cs="Calibri"/>
              </w:rPr>
            </w:pPr>
            <w:bookmarkStart w:id="16" w:name="Par678"/>
            <w:bookmarkEnd w:id="16"/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605,83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207,69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596,16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184,28</w:t>
            </w:r>
          </w:p>
        </w:tc>
      </w:tr>
      <w:tr w:rsidR="00525453" w:rsidTr="00B115A6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" w:hAnsi="Calibri" w:cs="Calibri"/>
              </w:rPr>
            </w:pPr>
            <w:bookmarkStart w:id="17" w:name="Par691"/>
            <w:bookmarkEnd w:id="17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э</w:t>
            </w:r>
            <w:proofErr w:type="gramEnd"/>
            <w:r>
              <w:rPr>
                <w:rFonts w:ascii="Calibri" w:hAnsi="Calibri" w:cs="Calibri"/>
              </w:rPr>
              <w:t xml:space="preserve">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182,43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229,24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168,28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198,54</w:t>
            </w:r>
          </w:p>
        </w:tc>
      </w:tr>
      <w:tr w:rsidR="00525453" w:rsidTr="00B115A6"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0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525453" w:rsidTr="00B115A6">
        <w:tc>
          <w:tcPr>
            <w:tcW w:w="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154,25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139,25</w:t>
            </w:r>
          </w:p>
        </w:tc>
      </w:tr>
      <w:tr w:rsidR="00525453" w:rsidTr="00B115A6"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0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(сверх социальной нормы потребления электроэнергии) &lt;2&gt;:</w:t>
            </w:r>
          </w:p>
        </w:tc>
      </w:tr>
      <w:tr w:rsidR="00525453" w:rsidTr="00B115A6">
        <w:tc>
          <w:tcPr>
            <w:tcW w:w="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мощности (в том числе с </w:t>
            </w:r>
            <w:r>
              <w:rPr>
                <w:rFonts w:ascii="Calibri" w:hAnsi="Calibri" w:cs="Calibri"/>
              </w:rPr>
              <w:lastRenderedPageBreak/>
              <w:t>учетом дифференциации по двум и по трем зонам суток)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МВт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 w:rsidTr="00B115A6"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746"/>
      <w:bookmarkEnd w:id="18"/>
      <w:r>
        <w:rPr>
          <w:rFonts w:ascii="Calibri" w:hAnsi="Calibri" w:cs="Calibri"/>
        </w:rPr>
        <w:t>Единые (котловые) тарифы на услуги по передаче электрической</w:t>
      </w: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энергии по сетям Смоленской области, поставляемой населению</w:t>
      </w: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приравненным к нему категориям потребителей</w:t>
      </w: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2015 год &lt;1&gt;</w:t>
      </w: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525453" w:rsidRDefault="00525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989"/>
        <w:gridCol w:w="1247"/>
        <w:gridCol w:w="1361"/>
        <w:gridCol w:w="1361"/>
      </w:tblGrid>
      <w:tr w:rsidR="005254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5254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254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bookmarkStart w:id="19" w:name="Par763"/>
            <w:bookmarkEnd w:id="19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(в пределах социальной нормы потребления электроэнергии) (тарифы указываются без учета НДС) &lt;2&gt;</w:t>
            </w:r>
          </w:p>
        </w:tc>
      </w:tr>
      <w:tr w:rsidR="0052545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hyperlink w:anchor="Par772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779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lastRenderedPageBreak/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&lt;3&gt;.</w:t>
            </w:r>
          </w:p>
        </w:tc>
      </w:tr>
      <w:tr w:rsidR="0052545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0,75183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1,16574</w:t>
            </w:r>
          </w:p>
        </w:tc>
      </w:tr>
      <w:tr w:rsidR="0052545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0" w:name="Par772"/>
            <w:bookmarkEnd w:id="20"/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нему:</w:t>
            </w:r>
          </w:p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</w:t>
            </w:r>
          </w:p>
        </w:tc>
      </w:tr>
      <w:tr w:rsidR="0052545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0,75183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0,12481</w:t>
            </w:r>
          </w:p>
        </w:tc>
      </w:tr>
      <w:tr w:rsidR="0052545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1" w:name="Par779"/>
            <w:bookmarkEnd w:id="21"/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пунктах,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нему:</w:t>
            </w:r>
          </w:p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  <w:r>
              <w:rPr>
                <w:rFonts w:ascii="Calibri" w:hAnsi="Calibri" w:cs="Calibri"/>
              </w:rPr>
              <w:lastRenderedPageBreak/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</w:t>
            </w:r>
          </w:p>
        </w:tc>
      </w:tr>
      <w:tr w:rsidR="0052545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0,75183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0,12345</w:t>
            </w:r>
          </w:p>
        </w:tc>
      </w:tr>
      <w:tr w:rsidR="005254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52545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1.4.1.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</w:t>
            </w:r>
          </w:p>
        </w:tc>
      </w:tr>
      <w:tr w:rsidR="0052545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0,75183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1,14048</w:t>
            </w:r>
          </w:p>
        </w:tc>
      </w:tr>
      <w:tr w:rsidR="0052545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1.4.2.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</w:t>
            </w:r>
          </w:p>
        </w:tc>
      </w:tr>
      <w:tr w:rsidR="0052545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0,75183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1,07768</w:t>
            </w:r>
          </w:p>
        </w:tc>
      </w:tr>
      <w:tr w:rsidR="0052545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1.4.3.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</w:t>
            </w:r>
          </w:p>
        </w:tc>
      </w:tr>
      <w:tr w:rsidR="0052545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0,75183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1,20714</w:t>
            </w:r>
          </w:p>
        </w:tc>
      </w:tr>
      <w:tr w:rsidR="0052545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1.4.4.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</w:t>
            </w:r>
            <w:r>
              <w:rPr>
                <w:rFonts w:ascii="Calibri" w:hAnsi="Calibri" w:cs="Calibri"/>
              </w:rPr>
              <w:lastRenderedPageBreak/>
              <w:t>приравненным к населению категориям потребителей, указанным в данном пункте &lt;3&gt;</w:t>
            </w:r>
          </w:p>
        </w:tc>
      </w:tr>
      <w:tr w:rsidR="0052545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0,75183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1,16032</w:t>
            </w:r>
          </w:p>
        </w:tc>
      </w:tr>
      <w:tr w:rsidR="005254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bookmarkStart w:id="22" w:name="Par816"/>
            <w:bookmarkEnd w:id="22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(сверх социальной нормы потребления электроэнергии) (тарифы указываются без учета НДС) &lt;2&gt;</w:t>
            </w:r>
          </w:p>
        </w:tc>
      </w:tr>
      <w:tr w:rsidR="0052545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указанных в </w:t>
            </w:r>
            <w:hyperlink w:anchor="Par826" w:history="1">
              <w:r>
                <w:rPr>
                  <w:rFonts w:ascii="Calibri" w:hAnsi="Calibri" w:cs="Calibri"/>
                  <w:color w:val="0000FF"/>
                </w:rPr>
                <w:t>пунктах 2.2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834" w:history="1">
              <w:r>
                <w:rPr>
                  <w:rFonts w:ascii="Calibri" w:hAnsi="Calibri" w:cs="Calibri"/>
                  <w:color w:val="0000FF"/>
                </w:rPr>
                <w:t>2.3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</w:t>
            </w:r>
          </w:p>
        </w:tc>
      </w:tr>
      <w:tr w:rsidR="0052545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3" w:name="Par826"/>
            <w:bookmarkEnd w:id="23"/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нему:</w:t>
            </w:r>
          </w:p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 xml:space="preserve">) для </w:t>
            </w:r>
            <w:r>
              <w:rPr>
                <w:rFonts w:ascii="Calibri" w:hAnsi="Calibri" w:cs="Calibri"/>
              </w:rPr>
              <w:lastRenderedPageBreak/>
              <w:t>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</w:t>
            </w:r>
          </w:p>
        </w:tc>
      </w:tr>
      <w:tr w:rsidR="0052545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там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4" w:name="Par834"/>
            <w:bookmarkEnd w:id="24"/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пунктах,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нему:</w:t>
            </w:r>
          </w:p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</w:t>
            </w:r>
          </w:p>
        </w:tc>
      </w:tr>
      <w:tr w:rsidR="0052545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52545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</w:t>
            </w:r>
            <w:r>
              <w:rPr>
                <w:rFonts w:ascii="Calibri" w:hAnsi="Calibri" w:cs="Calibri"/>
              </w:rPr>
              <w:lastRenderedPageBreak/>
              <w:t>приравненным к населению категориям потребителей, указанным в данном пункте &lt;3&gt;</w:t>
            </w:r>
          </w:p>
        </w:tc>
      </w:tr>
      <w:tr w:rsidR="0052545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</w:t>
            </w:r>
          </w:p>
        </w:tc>
      </w:tr>
      <w:tr w:rsidR="0052545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2.4.3.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</w:t>
            </w:r>
          </w:p>
        </w:tc>
      </w:tr>
      <w:tr w:rsidR="0052545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2545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2.4.4.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приобретающие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</w:t>
            </w:r>
          </w:p>
        </w:tc>
      </w:tr>
      <w:tr w:rsidR="0052545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453" w:rsidRDefault="0052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A1188B" w:rsidRDefault="00A1188B" w:rsidP="00A1188B"/>
    <w:sectPr w:rsidR="00A1188B" w:rsidSect="00A1188B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53"/>
    <w:rsid w:val="00525453"/>
    <w:rsid w:val="0052665A"/>
    <w:rsid w:val="00727985"/>
    <w:rsid w:val="00787391"/>
    <w:rsid w:val="00985FA6"/>
    <w:rsid w:val="00A1188B"/>
    <w:rsid w:val="00B115A6"/>
    <w:rsid w:val="00B124BF"/>
    <w:rsid w:val="00D23834"/>
    <w:rsid w:val="00D2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7BBD5DC2F9DEF1E70E5FC8E5A48276E35F252BD74D6DCE7169D9FFE7520D26047556C711fEH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7BBD5DC2F9DEF1E70E5FC8E5A48276E35F252BD74D6DCE7169D9FFE7520D26047556C711fEHE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7BBD5DC2F9DEF1E70E41C5F3C8DF7CE4537E2FD64F6791293682A2B05B0771433A0F855DE36F216504F4f7H6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87BBD5DC2F9DEF1E70E5FC8E5A48276E35F252BD74D6DCE7169D9FFE7520D26047556C711fEH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7BBD5DC2F9DEF1E70E5FC8E5A48276E35F252BD74D6DCE7169D9FFE7520D26047556C711fEH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6401</Words>
  <Characters>36489</Characters>
  <Application>Microsoft Office Word</Application>
  <DocSecurity>4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nkolganova</dc:creator>
  <cp:keywords/>
  <dc:description/>
  <cp:lastModifiedBy>anikitina</cp:lastModifiedBy>
  <cp:revision>2</cp:revision>
  <dcterms:created xsi:type="dcterms:W3CDTF">2015-07-13T15:20:00Z</dcterms:created>
  <dcterms:modified xsi:type="dcterms:W3CDTF">2015-07-13T15:20:00Z</dcterms:modified>
</cp:coreProperties>
</file>