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BF" w:rsidRDefault="005508BF">
      <w:pPr>
        <w:widowControl w:val="0"/>
        <w:autoSpaceDE w:val="0"/>
        <w:autoSpaceDN w:val="0"/>
        <w:adjustRightInd w:val="0"/>
        <w:jc w:val="both"/>
        <w:outlineLvl w:val="0"/>
      </w:pPr>
    </w:p>
    <w:p w:rsidR="005508BF" w:rsidRDefault="005508B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КОМИТЕТ ПО ЦЕНАМ И ТАРИФАМ МОСКОВСКОЙ ОБЛАСТИ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13 декабря 2013 г. N 144-Р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УСТАНОВЛЕНИИ НА 2014 ГОД ЦЕН (ТАРИФОВ) НА </w:t>
      </w:r>
      <w:proofErr w:type="gramStart"/>
      <w:r>
        <w:rPr>
          <w:b/>
          <w:bCs/>
        </w:rPr>
        <w:t>ЭЛЕКТРИЧЕСКУЮ</w:t>
      </w:r>
      <w:proofErr w:type="gramEnd"/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ЭНЕРГИЮ ДЛЯ НАСЕЛЕНИЯ МОСКОВСКОЙ ОБЛАСТИ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</w:t>
      </w:r>
      <w:proofErr w:type="gramEnd"/>
      <w:r>
        <w:t xml:space="preserve">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на основании решения Правления Комитета по ценам и тарифам Московской области (протокол от 06.12.2013 N 34):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</w:t>
      </w:r>
      <w:hyperlink w:anchor="Par30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на 2014 год для населения Московской области согласно приложению N 1.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 </w:t>
      </w:r>
      <w:hyperlink w:anchor="Par188" w:history="1">
        <w:r>
          <w:rPr>
            <w:color w:val="0000FF"/>
          </w:rPr>
          <w:t>порядок</w:t>
        </w:r>
      </w:hyperlink>
      <w:r>
        <w:t xml:space="preserve"> применения в 2014 году понижающего коэффициента к ценам (тарифам) на электрическую энергию для населения Московской области согласно приложению N 2.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распоряжение вступает в силу в порядке, установленном законодательством Российской Федерации.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Комитета по ценам и тарифам Московской области Дудкина С.А.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Председатель Комитета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Н.С. Ушакова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t>Приложение N 1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Комитета по ценам и тарифам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от 13 декабря 2013 г. N 144-Р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  <w:sectPr w:rsidR="005508BF" w:rsidSect="00E40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  <w:bookmarkStart w:id="2" w:name="_GoBack"/>
      <w:bookmarkEnd w:id="2"/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ЦЕНЫ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(ТАРИФЫ) НА ЭЛЕКТРИЧЕСКУЮ ЭНЕРГИЮ НА 2014 ГОД ДЛЯ НАСЕЛЕНИЯ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1587"/>
        <w:gridCol w:w="1984"/>
        <w:gridCol w:w="1928"/>
      </w:tblGrid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полугодие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Цена (тариф)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Цена (тариф)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Население (тарифы указываются с учетом НДС)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 xml:space="preserve">Население,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ar7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111" w:history="1">
              <w:r>
                <w:rPr>
                  <w:color w:val="0000FF"/>
                </w:rPr>
                <w:t>3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4,18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1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4,79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1,63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1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5,67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5,91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4,18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1,63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bookmarkStart w:id="4" w:name="Par79"/>
            <w:bookmarkEnd w:id="4"/>
            <w:r>
              <w:t>2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Население, проживающее в городских населенных пунктах в домах,</w:t>
            </w:r>
          </w:p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оборудованных</w:t>
            </w:r>
            <w:proofErr w:type="gramEnd"/>
            <w:r>
              <w:t xml:space="preserve"> в установленном порядке стационарными электроплитами и (или) электроотопительными установками </w:t>
            </w:r>
            <w:hyperlink w:anchor="Par1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2,93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1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3,23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3,37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1,14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1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3,97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4,14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2,93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1,14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bookmarkStart w:id="5" w:name="Par111"/>
            <w:bookmarkEnd w:id="5"/>
            <w:r>
              <w:t>3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Население, проживающее в сельских населенных пунктах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2,93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1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3,23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3,37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1,14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3,97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4,14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2,93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1,14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4,18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1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4,79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1,63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1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5,67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5,91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4,18</w:t>
            </w:r>
          </w:p>
        </w:tc>
      </w:tr>
      <w:tr w:rsidR="00550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F" w:rsidRDefault="005508BF">
            <w:pPr>
              <w:widowControl w:val="0"/>
              <w:autoSpaceDE w:val="0"/>
              <w:autoSpaceDN w:val="0"/>
              <w:adjustRightInd w:val="0"/>
            </w:pPr>
            <w:r>
              <w:t>1,63</w:t>
            </w:r>
          </w:p>
        </w:tc>
      </w:tr>
    </w:tbl>
    <w:p w:rsidR="005508BF" w:rsidRDefault="005508BF">
      <w:pPr>
        <w:widowControl w:val="0"/>
        <w:autoSpaceDE w:val="0"/>
        <w:autoSpaceDN w:val="0"/>
        <w:adjustRightInd w:val="0"/>
        <w:jc w:val="both"/>
        <w:sectPr w:rsidR="005508BF" w:rsidSect="005508BF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75"/>
      <w:bookmarkEnd w:id="6"/>
      <w:r>
        <w:t>&lt;1&gt; Интервалы тарифных зон суток (по месяцам календарного года) утверждаются Федеральной службой по тарифам.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76"/>
      <w:bookmarkEnd w:id="7"/>
      <w:r>
        <w:t xml:space="preserve">&lt;2&gt; </w:t>
      </w:r>
      <w:hyperlink w:anchor="Par188" w:history="1">
        <w:r>
          <w:rPr>
            <w:color w:val="0000FF"/>
          </w:rPr>
          <w:t>Порядок</w:t>
        </w:r>
      </w:hyperlink>
      <w:r>
        <w:t xml:space="preserve"> применения в 2014 году понижающего коэффициента к ценам (тарифам) на электрическую энергию для населения Московской области приведен в приложении N 2 к настоящему распоряжению.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82"/>
      <w:bookmarkEnd w:id="8"/>
      <w:r>
        <w:t>Приложение N 2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Комитета по ценам и тарифам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5508BF" w:rsidRDefault="005508BF">
      <w:pPr>
        <w:widowControl w:val="0"/>
        <w:autoSpaceDE w:val="0"/>
        <w:autoSpaceDN w:val="0"/>
        <w:adjustRightInd w:val="0"/>
        <w:jc w:val="right"/>
      </w:pPr>
      <w:r>
        <w:t>от 13 декабря 2013 г. N 144-Р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88"/>
      <w:bookmarkEnd w:id="9"/>
      <w:r>
        <w:rPr>
          <w:b/>
          <w:bCs/>
        </w:rPr>
        <w:t>ПОРЯДОК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ПРИМЕНЕНИЯ В 2014 ГОДУ ПОНИЖАЮЩЕГО КОЭФФИЦИЕНТА К ЦЕНАМ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(ТАРИФАМ) НА ЭЛЕКТРИЧЕСКУЮ ЭНЕРГИЮ ДЛЯ НАСЕЛЕНИЯ</w:t>
      </w:r>
    </w:p>
    <w:p w:rsidR="005508BF" w:rsidRDefault="00550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а также для населения, проживающего в сельской местности, при оплате электроэнергии, использованной на указанные цели, к тарифам на электрическую энергию применяется понижающий коэффициент 0,7.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2. Понижающий коэффициент применяется в отношении следующих приравненных к категории "Население" потребителей: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</w:t>
      </w:r>
      <w:proofErr w:type="spellStart"/>
      <w:r>
        <w:t>наймодателей</w:t>
      </w:r>
      <w:proofErr w:type="spellEnd"/>
      <w:r>
        <w:t xml:space="preserve">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гарантирующих поставщиков, энергосбытовых, </w:t>
      </w:r>
      <w:proofErr w:type="spellStart"/>
      <w:r>
        <w:t>энергоснабжающих</w:t>
      </w:r>
      <w:proofErr w:type="spellEnd"/>
      <w:r>
        <w:t xml:space="preserve">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юридических и физических лиц в части приобретаемого объема электрической </w:t>
      </w:r>
      <w:r>
        <w:lastRenderedPageBreak/>
        <w:t>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энергию в жилых домах, расположенных в сельской местности;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юридических лиц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содержащихся за счет прихожан религиозных организаций;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физических лиц, приобретающих электрическую энергию для энергоснабжения хозяйственных построек (погреба, сараи и иные сооружения аналогичного назначения);</w:t>
      </w:r>
    </w:p>
    <w:p w:rsidR="005508BF" w:rsidRDefault="005508BF">
      <w:pPr>
        <w:widowControl w:val="0"/>
        <w:autoSpaceDE w:val="0"/>
        <w:autoSpaceDN w:val="0"/>
        <w:adjustRightInd w:val="0"/>
        <w:ind w:firstLine="540"/>
        <w:jc w:val="both"/>
      </w:pPr>
      <w:r>
        <w:t>- некоммерческих объединений граждан (гаражно-строительные, гаражные кооперативы) и отдельно стоящих гаражей, принадлежащих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5508BF" w:rsidRDefault="005508BF">
      <w:pPr>
        <w:widowControl w:val="0"/>
        <w:autoSpaceDE w:val="0"/>
        <w:autoSpaceDN w:val="0"/>
        <w:adjustRightInd w:val="0"/>
        <w:jc w:val="both"/>
      </w:pPr>
    </w:p>
    <w:p w:rsidR="0091775E" w:rsidRDefault="0091775E"/>
    <w:sectPr w:rsidR="0091775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BF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5508BF"/>
    <w:rsid w:val="006016F6"/>
    <w:rsid w:val="00763E7B"/>
    <w:rsid w:val="0091775E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1E30529A2963A1594E428FD911AB22010D9E1AD213DAC6C470E60431DL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1E30529A2963A1594E428FD911AB22010DAE7AA293DAC6C470E60431DL0H" TargetMode="External"/><Relationship Id="rId5" Type="http://schemas.openxmlformats.org/officeDocument/2006/relationships/hyperlink" Target="consultantplus://offline/ref=8561E30529A2963A1594E428FD911AB22010D9ECA9203DAC6C470E6043D09B7F6FB544DF129501911BL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2014-02-12T07:11:00Z</dcterms:created>
  <dcterms:modified xsi:type="dcterms:W3CDTF">2014-02-12T07:12:00Z</dcterms:modified>
</cp:coreProperties>
</file>