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60/69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ТЕРРИТОРИАЛЬНЫХ СЕТЕВЫХ ОРГАНИЗАЦИЙ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ВЛАДИМИРСКОЙ ОБЛАСТИ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цен и тарифов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29.12.2014 N 62/7)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7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27.12.2004 </w:t>
      </w:r>
      <w:hyperlink r:id="rId8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(энергетических установок) юридических и физических лиц к электрическим сетям", от 22.07.2013 </w:t>
      </w:r>
      <w:hyperlink r:id="rId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(мощности)", Методическими </w:t>
      </w:r>
      <w:hyperlink r:id="rId1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и Методическими </w:t>
      </w:r>
      <w:hyperlink r:id="rId11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населению, и приравненным к нему категориям потребителей, утвержденными приказом Федеральной службы по тарифам от 16.09.2014 N 1442-э, департамент цен и тарифов администрации Владимирской области постановляет: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1. Установить с 01.01.2015 по 31.12.2015 единые (котловые) </w:t>
      </w:r>
      <w:hyperlink w:anchor="Par4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территориальных сетевых организаций Владимирской области с календарной разбивкой согласно приложению.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01 января 2015 года: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области от 15.05.2014 N 20/5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области";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области от 15.08.2014 N 30/2 "О внесении изменения в постановление департамента цен и тарифов администрации Владимирской области от 15.05.2014 N 20/5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области".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администрации Владимирской области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Р.Н.СОРОКИН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60/69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Единые (котловые) тарифы </w:t>
      </w:r>
      <w:hyperlink w:anchor="Par17" w:history="1">
        <w:r>
          <w:rPr>
            <w:rFonts w:ascii="Calibri" w:hAnsi="Calibri" w:cs="Calibri"/>
            <w:color w:val="0000FF"/>
          </w:rPr>
          <w:t>действуют</w:t>
        </w:r>
      </w:hyperlink>
      <w:r>
        <w:rPr>
          <w:rFonts w:ascii="Calibri" w:hAnsi="Calibri" w:cs="Calibri"/>
        </w:rPr>
        <w:t xml:space="preserve"> по 31 декабря 2015 года.</w:t>
      </w:r>
    </w:p>
    <w:p w:rsidR="00ED0095" w:rsidRDefault="00ED0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СУБЪЕКТА РОССИЙСКОЙ ФЕДЕРАЦИИ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цен и тарифов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29.12.2014 N 62/7)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D0095" w:rsidSect="00C42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08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73"/>
        <w:gridCol w:w="1418"/>
        <w:gridCol w:w="1191"/>
        <w:gridCol w:w="1191"/>
        <w:gridCol w:w="1304"/>
        <w:gridCol w:w="1304"/>
        <w:gridCol w:w="1191"/>
        <w:gridCol w:w="1191"/>
        <w:gridCol w:w="1361"/>
        <w:gridCol w:w="1304"/>
      </w:tblGrid>
      <w:tr w:rsidR="00ED0095" w:rsidTr="00ED009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D0095" w:rsidTr="00ED009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ED0095" w:rsidTr="00ED009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5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1,587</w:t>
            </w:r>
            <w:bookmarkStart w:id="5" w:name="_GoBack"/>
            <w:bookmarkEnd w:id="5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1,87783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2,59599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1,56447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1,96506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2,32459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3,21361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658,17455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689,77302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1009,20234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1144,36788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836,20237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920,88939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1328,74224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1558,50767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0,35307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0,38427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0,74564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0,26749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0,57747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16"/>
            <w:bookmarkEnd w:id="6"/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с учетом НДС)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18"/>
            <w:bookmarkEnd w:id="7"/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25" w:history="1">
              <w:r>
                <w:rPr>
                  <w:rFonts w:ascii="Calibri" w:hAnsi="Calibri" w:cs="Calibri"/>
                  <w:color w:val="0000FF"/>
                </w:rPr>
                <w:t>пунктах 2.1.2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1" w:history="1">
              <w:r>
                <w:rPr>
                  <w:rFonts w:ascii="Calibri" w:hAnsi="Calibri" w:cs="Calibri"/>
                  <w:color w:val="0000FF"/>
                </w:rPr>
                <w:t>2.1.3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1,55459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1,80708</w:t>
            </w:r>
          </w:p>
        </w:tc>
      </w:tr>
      <w:tr w:rsidR="00ED0095" w:rsidTr="00ED009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125"/>
            <w:bookmarkEnd w:id="8"/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D0095" w:rsidTr="00ED009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0,50905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0,65942</w:t>
            </w:r>
          </w:p>
        </w:tc>
      </w:tr>
      <w:tr w:rsidR="00ED0095" w:rsidTr="00ED009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131"/>
            <w:bookmarkEnd w:id="9"/>
            <w:r>
              <w:rPr>
                <w:rFonts w:ascii="Calibri" w:hAnsi="Calibri" w:cs="Calibri"/>
              </w:rPr>
              <w:t>2.1.3.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D0095" w:rsidTr="00ED009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0,57859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0,83819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37"/>
            <w:bookmarkEnd w:id="10"/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 </w:t>
            </w:r>
            <w:hyperlink w:anchor="Par40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0,81719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1,93828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144"/>
            <w:bookmarkEnd w:id="11"/>
            <w:r>
              <w:rPr>
                <w:rFonts w:ascii="Calibri" w:hAnsi="Calibri" w:cs="Calibri"/>
              </w:rPr>
              <w:t>2.1.5.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 </w:t>
            </w:r>
            <w:hyperlink w:anchor="Par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0,81719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0,82140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151"/>
            <w:bookmarkEnd w:id="12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ED0095" w:rsidTr="00ED009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153"/>
            <w:bookmarkEnd w:id="13"/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пунктах 2.2.2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2.2.3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3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D0095" w:rsidTr="00ED009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2,25957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2,55393</w:t>
            </w:r>
          </w:p>
        </w:tc>
      </w:tr>
      <w:tr w:rsidR="00ED0095" w:rsidTr="00ED009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159"/>
            <w:bookmarkEnd w:id="14"/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D0095" w:rsidTr="00ED009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0,96539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1,11210</w:t>
            </w:r>
          </w:p>
        </w:tc>
      </w:tr>
      <w:tr w:rsidR="00ED0095" w:rsidTr="00ED009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165"/>
            <w:bookmarkEnd w:id="15"/>
            <w:r>
              <w:rPr>
                <w:rFonts w:ascii="Calibri" w:hAnsi="Calibri" w:cs="Calibri"/>
              </w:rPr>
              <w:t>2.2.3.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D0095" w:rsidTr="00ED009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1,05002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1,31877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171"/>
            <w:bookmarkEnd w:id="16"/>
            <w:r>
              <w:rPr>
                <w:rFonts w:ascii="Calibri" w:hAnsi="Calibri" w:cs="Calibri"/>
              </w:rPr>
              <w:t>2.2.4.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 (в том числе при отсутствии решения уполномоченного органа государственной власти субъекта Российской Федерации о применении социальной нормы для категории потребителей, приравненных к населению) </w:t>
            </w:r>
            <w:hyperlink w:anchor="Par40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2,08392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2,65080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178"/>
            <w:bookmarkEnd w:id="17"/>
            <w:r>
              <w:rPr>
                <w:rFonts w:ascii="Calibri" w:hAnsi="Calibri" w:cs="Calibri"/>
              </w:rPr>
              <w:t>2.2.5.</w:t>
            </w:r>
          </w:p>
        </w:tc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 (в том числе при отсутствии решения уполномоченного органа государственной власти субъекта Российской Федерации о применении социальной нормы для категории потребителей, приравненных к населению) </w:t>
            </w:r>
            <w:hyperlink w:anchor="Par4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2,08392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1,31972</w:t>
            </w:r>
          </w:p>
        </w:tc>
      </w:tr>
      <w:tr w:rsidR="00ED0095" w:rsidTr="00ED0095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ED0095" w:rsidTr="00ED0095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ED0095" w:rsidTr="00ED0095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415275,93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16602,42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326304,9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160770,49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383395,29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3827,45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421856,2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233067,01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Федерации, тыс. руб.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"Владимирская областная электросетевая компания"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1242147,21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Радугагорэнерго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29880,23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Муром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122629,39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Александровэлектросеть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136150,13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", г. Гороховец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23977,66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СтройГарант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37503,10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Костеревские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38429,82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Золотковоэнерго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5149,01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Ковровэлектросетьремонт</w:t>
            </w:r>
            <w:proofErr w:type="spellEnd"/>
            <w:r>
              <w:rPr>
                <w:rFonts w:ascii="Calibri" w:hAnsi="Calibri" w:cs="Calibri"/>
              </w:rPr>
              <w:t>", г. Ковров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57070,29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ПромРЭС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6850,79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13592,51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"Энергетик", г. Карабаново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44871,09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Электросистемы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21865,18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Вязники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10832,85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Энергопром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2095,23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", филиал "Волго-Вятский"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44409,95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"Владимирская сетевая компания"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6719,42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"ЭСП-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1846,13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"Ярцево-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10572,10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Камешковотепло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7161,13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, Горьковская дирекция по энергообеспечению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58368,02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, Московская дирекция по энергообеспечению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18720,81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, Северная дирекция по энергообеспечению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7634,90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"Муромтепловоз"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812,17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Гусевский</w:t>
            </w:r>
            <w:proofErr w:type="spellEnd"/>
            <w:r>
              <w:rPr>
                <w:rFonts w:ascii="Calibri" w:hAnsi="Calibri" w:cs="Calibri"/>
              </w:rPr>
              <w:t xml:space="preserve"> стекольный завод им. Дзержинского"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1872,18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завод "Электроприбор"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934,90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Полимерсинтез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6249,45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"Красное Эхо"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247,85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ГНУ ВНИИОУ </w:t>
            </w:r>
            <w:proofErr w:type="spellStart"/>
            <w:r>
              <w:rPr>
                <w:rFonts w:ascii="Calibri" w:hAnsi="Calibri" w:cs="Calibri"/>
              </w:rPr>
              <w:t>Россельхозакадемии</w:t>
            </w:r>
            <w:proofErr w:type="spellEnd"/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691,07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завод железобетонных изделий"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631,09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Мстерский</w:t>
            </w:r>
            <w:proofErr w:type="spellEnd"/>
            <w:r>
              <w:rPr>
                <w:rFonts w:ascii="Calibri" w:hAnsi="Calibri" w:cs="Calibri"/>
              </w:rPr>
              <w:t xml:space="preserve"> завод керамических стеновых материалов"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114,78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"Ставровский завод АТО"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32345,72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"Капитал Магнезит"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1475,44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ГНПП "Крона", г. Владимир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51,05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"Владимирский завод крупнопанельного домостроения"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1770,84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металлический завод"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2013,78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"Муромский приборостроительный завод"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2185,34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4813,53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"Ткацкая фабрика "</w:t>
            </w:r>
            <w:proofErr w:type="spellStart"/>
            <w:r>
              <w:rPr>
                <w:rFonts w:ascii="Calibri" w:hAnsi="Calibri" w:cs="Calibri"/>
              </w:rPr>
              <w:t>Медтекс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1176,10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Автоприборкомплекс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1611,61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химический завод"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249,65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ВЗПО "Техника"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802,62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Фабрика "Свобода"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2026,44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"Тирада"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982,15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Армагус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244,38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Киржачский</w:t>
            </w:r>
            <w:proofErr w:type="spellEnd"/>
            <w:r>
              <w:rPr>
                <w:rFonts w:ascii="Calibri" w:hAnsi="Calibri" w:cs="Calibri"/>
              </w:rPr>
              <w:t xml:space="preserve"> инструментальный завод"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476,51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Першинское</w:t>
            </w:r>
            <w:proofErr w:type="spellEnd"/>
            <w:r>
              <w:rPr>
                <w:rFonts w:ascii="Calibri" w:hAnsi="Calibri" w:cs="Calibri"/>
              </w:rPr>
              <w:t xml:space="preserve"> УМПП ЖКХ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739,91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"Покровский завод биопрепаратов"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1924,93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Монострой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3950,64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</w:t>
            </w:r>
            <w:proofErr w:type="spellStart"/>
            <w:r>
              <w:rPr>
                <w:rFonts w:ascii="Calibri" w:hAnsi="Calibri" w:cs="Calibri"/>
              </w:rPr>
              <w:t>Автосвет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126,14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"Строим вместе счастливое детство"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601,91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"Энергетик", г. Вязники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1329,37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Сантехмонтаж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713,78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"Ковровское </w:t>
            </w:r>
            <w:proofErr w:type="spellStart"/>
            <w:r>
              <w:rPr>
                <w:rFonts w:ascii="Calibri" w:hAnsi="Calibri" w:cs="Calibri"/>
              </w:rPr>
              <w:t>карьероуправление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1775,86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"Владимир-</w:t>
            </w:r>
            <w:proofErr w:type="spellStart"/>
            <w:r>
              <w:rPr>
                <w:rFonts w:ascii="Calibri" w:hAnsi="Calibri" w:cs="Calibri"/>
              </w:rPr>
              <w:t>Союзпроммонтаж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11,04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"Текстильная компания ГОФ"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2362,98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Фелис</w:t>
            </w:r>
            <w:proofErr w:type="spellEnd"/>
            <w:r>
              <w:rPr>
                <w:rFonts w:ascii="Calibri" w:hAnsi="Calibri" w:cs="Calibri"/>
              </w:rPr>
              <w:t xml:space="preserve"> Плюс"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633,27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НПО </w:t>
            </w:r>
            <w:proofErr w:type="spellStart"/>
            <w:r>
              <w:rPr>
                <w:rFonts w:ascii="Calibri" w:hAnsi="Calibri" w:cs="Calibri"/>
              </w:rPr>
              <w:t>Першинский</w:t>
            </w:r>
            <w:proofErr w:type="spellEnd"/>
            <w:r>
              <w:rPr>
                <w:rFonts w:ascii="Calibri" w:hAnsi="Calibri" w:cs="Calibri"/>
              </w:rPr>
              <w:t xml:space="preserve"> филиал "Наука"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1450,68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Хейирбеков</w:t>
            </w:r>
            <w:proofErr w:type="spellEnd"/>
            <w:r>
              <w:rPr>
                <w:rFonts w:ascii="Calibri" w:hAnsi="Calibri" w:cs="Calibri"/>
              </w:rPr>
              <w:t xml:space="preserve"> Я.М.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648,63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"Владимирэнерго"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4713156,09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 "Вязниковская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69956,15</w:t>
            </w:r>
          </w:p>
        </w:tc>
      </w:tr>
      <w:tr w:rsidR="00ED0095" w:rsidTr="00ED00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095" w:rsidRDefault="00ED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4072,67</w:t>
            </w:r>
          </w:p>
        </w:tc>
      </w:tr>
    </w:tbl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D0095" w:rsidSect="00ED0095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396"/>
      <w:bookmarkEnd w:id="18"/>
      <w:r>
        <w:rPr>
          <w:rFonts w:ascii="Calibri" w:hAnsi="Calibri" w:cs="Calibri"/>
        </w:rPr>
        <w:t xml:space="preserve">&lt;1&gt; Тарифы на услуги по передаче электрической энергии, установленные </w:t>
      </w:r>
      <w:hyperlink w:anchor="Par118" w:history="1">
        <w:r>
          <w:rPr>
            <w:rFonts w:ascii="Calibri" w:hAnsi="Calibri" w:cs="Calibri"/>
            <w:color w:val="0000FF"/>
          </w:rPr>
          <w:t>пунктами 2.1.1</w:t>
        </w:r>
      </w:hyperlink>
      <w:r>
        <w:rPr>
          <w:rFonts w:ascii="Calibri" w:hAnsi="Calibri" w:cs="Calibri"/>
        </w:rPr>
        <w:t xml:space="preserve"> и </w:t>
      </w:r>
      <w:hyperlink w:anchor="Par153" w:history="1">
        <w:r>
          <w:rPr>
            <w:rFonts w:ascii="Calibri" w:hAnsi="Calibri" w:cs="Calibri"/>
            <w:color w:val="0000FF"/>
          </w:rPr>
          <w:t>2.2.1</w:t>
        </w:r>
      </w:hyperlink>
      <w:r>
        <w:rPr>
          <w:rFonts w:ascii="Calibri" w:hAnsi="Calibri" w:cs="Calibri"/>
        </w:rPr>
        <w:t xml:space="preserve"> приложения, применяются в расчетах за указанные услуги в отношении объемов электрической энергии, потребленной: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исполнителями коммунальных услуг (товариществами собственников жилья, жилищно-строительными, жилищными или иными специализированными потребительскими кооперативами либо управляющими организациями), </w:t>
      </w:r>
      <w:proofErr w:type="spellStart"/>
      <w:r>
        <w:rPr>
          <w:rFonts w:ascii="Calibri" w:hAnsi="Calibri" w:cs="Calibri"/>
        </w:rPr>
        <w:t>наймодателями</w:t>
      </w:r>
      <w:proofErr w:type="spellEnd"/>
      <w:r>
        <w:rPr>
          <w:rFonts w:ascii="Calibri" w:hAnsi="Calibri" w:cs="Calibri"/>
        </w:rPr>
        <w:t xml:space="preserve"> (или уполномоченными ими лицами), предоставляющими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электроэнергии, израсходованной на места общего пользования;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юридическими и физическими лицами, приобретающими электрическую энергию (мощность)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по общему прибору учета электрической энергии.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99"/>
      <w:bookmarkEnd w:id="19"/>
      <w:r>
        <w:rPr>
          <w:rFonts w:ascii="Calibri" w:hAnsi="Calibri" w:cs="Calibri"/>
        </w:rPr>
        <w:t xml:space="preserve">&lt;2&gt; Тарифы на услуги по передаче электрической энергии, установленные </w:t>
      </w:r>
      <w:hyperlink w:anchor="Par125" w:history="1">
        <w:r>
          <w:rPr>
            <w:rFonts w:ascii="Calibri" w:hAnsi="Calibri" w:cs="Calibri"/>
            <w:color w:val="0000FF"/>
          </w:rPr>
          <w:t>пунктами 2.1.2</w:t>
        </w:r>
      </w:hyperlink>
      <w:r>
        <w:rPr>
          <w:rFonts w:ascii="Calibri" w:hAnsi="Calibri" w:cs="Calibri"/>
        </w:rPr>
        <w:t xml:space="preserve">, </w:t>
      </w:r>
      <w:hyperlink w:anchor="Par131" w:history="1">
        <w:r>
          <w:rPr>
            <w:rFonts w:ascii="Calibri" w:hAnsi="Calibri" w:cs="Calibri"/>
            <w:color w:val="0000FF"/>
          </w:rPr>
          <w:t>2.1.3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2.2.2</w:t>
        </w:r>
      </w:hyperlink>
      <w:r>
        <w:rPr>
          <w:rFonts w:ascii="Calibri" w:hAnsi="Calibri" w:cs="Calibri"/>
        </w:rPr>
        <w:t xml:space="preserve"> и </w:t>
      </w:r>
      <w:hyperlink w:anchor="Par165" w:history="1">
        <w:r>
          <w:rPr>
            <w:rFonts w:ascii="Calibri" w:hAnsi="Calibri" w:cs="Calibri"/>
            <w:color w:val="0000FF"/>
          </w:rPr>
          <w:t>2.2.3</w:t>
        </w:r>
      </w:hyperlink>
      <w:r>
        <w:rPr>
          <w:rFonts w:ascii="Calibri" w:hAnsi="Calibri" w:cs="Calibri"/>
        </w:rPr>
        <w:t xml:space="preserve"> приложения, применяются в расчетах за указанные услуги в отношении объемов электрической энергии, потребленной: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исполнителями коммунальных услуг (товариществами собственников жилья, жилищно-строительными, жилищными или иными специализированными потребительскими кооперативами либо управляющими организациями), </w:t>
      </w:r>
      <w:proofErr w:type="spellStart"/>
      <w:r>
        <w:rPr>
          <w:rFonts w:ascii="Calibri" w:hAnsi="Calibri" w:cs="Calibri"/>
        </w:rPr>
        <w:t>наймодателями</w:t>
      </w:r>
      <w:proofErr w:type="spellEnd"/>
      <w:r>
        <w:rPr>
          <w:rFonts w:ascii="Calibri" w:hAnsi="Calibri" w:cs="Calibri"/>
        </w:rPr>
        <w:t xml:space="preserve"> (или уполномоченными ими лицами), предоставляющими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электроэнергии, израсходованной на места общего пользования, в домах, оборудованных в установленном порядке стационарными электроплитами и (или) электроотопительными установками, а также в домах, расположенных в сельских населенных пунктах;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юридическими и физическими лицами, приобретающими электрическую энергию (мощность) в целях потребления на коммунально-бытовые нужды в городских населенных пунктах, жилых зонах при воинских частях, расположенных в сельских населенных пунктах и рассчитывающихся по договору энергоснабжения по общему прибору учета электрической энергии.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02"/>
      <w:bookmarkEnd w:id="20"/>
      <w:r>
        <w:rPr>
          <w:rFonts w:ascii="Calibri" w:hAnsi="Calibri" w:cs="Calibri"/>
        </w:rPr>
        <w:t xml:space="preserve">&lt;3&gt; Тарифы на услуги по передаче электрической энергии, установленные </w:t>
      </w:r>
      <w:hyperlink w:anchor="Par137" w:history="1">
        <w:r>
          <w:rPr>
            <w:rFonts w:ascii="Calibri" w:hAnsi="Calibri" w:cs="Calibri"/>
            <w:color w:val="0000FF"/>
          </w:rPr>
          <w:t>пунктами 2.1.4</w:t>
        </w:r>
      </w:hyperlink>
      <w:r>
        <w:rPr>
          <w:rFonts w:ascii="Calibri" w:hAnsi="Calibri" w:cs="Calibri"/>
        </w:rPr>
        <w:t xml:space="preserve"> и </w:t>
      </w:r>
      <w:hyperlink w:anchor="Par171" w:history="1">
        <w:r>
          <w:rPr>
            <w:rFonts w:ascii="Calibri" w:hAnsi="Calibri" w:cs="Calibri"/>
            <w:color w:val="0000FF"/>
          </w:rPr>
          <w:t>2.2.4</w:t>
        </w:r>
      </w:hyperlink>
      <w:r>
        <w:rPr>
          <w:rFonts w:ascii="Calibri" w:hAnsi="Calibri" w:cs="Calibri"/>
        </w:rPr>
        <w:t xml:space="preserve"> приложения, применяются в расчетах за указанные услуги в отношении объемов электрической энергии, потребленной: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гарантирующими поставщиками, </w:t>
      </w:r>
      <w:proofErr w:type="spellStart"/>
      <w:r>
        <w:rPr>
          <w:rFonts w:ascii="Calibri" w:hAnsi="Calibri" w:cs="Calibri"/>
        </w:rPr>
        <w:t>энергосбытовыми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энергоснабжающими</w:t>
      </w:r>
      <w:proofErr w:type="spellEnd"/>
      <w:r>
        <w:rPr>
          <w:rFonts w:ascii="Calibri" w:hAnsi="Calibri" w:cs="Calibri"/>
        </w:rPr>
        <w:t xml:space="preserve"> организациями, приобретающими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юридическими лицами, приобретающими электрическую энергию (мощность) в целях потребления осужденными в помещениях для их содержания при условии наличия раздельного учета для указанных помещений;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объединениями граждан, приобретающими электрическую энергию (мощность) для использования в принадлежащих им хозяйственных постройках (погреба, сараи);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некоммерческими объединениями граждан (гаражно-строительными, гаражными кооперативами) и гражданами, владеющими отдельно стоящими гаражами, приобретающими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07"/>
      <w:bookmarkEnd w:id="21"/>
      <w:r>
        <w:rPr>
          <w:rFonts w:ascii="Calibri" w:hAnsi="Calibri" w:cs="Calibri"/>
        </w:rPr>
        <w:t xml:space="preserve">&lt;4&gt; Тарифы на услуги по передаче электрической энергии, установленные </w:t>
      </w:r>
      <w:hyperlink w:anchor="Par144" w:history="1">
        <w:r>
          <w:rPr>
            <w:rFonts w:ascii="Calibri" w:hAnsi="Calibri" w:cs="Calibri"/>
            <w:color w:val="0000FF"/>
          </w:rPr>
          <w:t>пунктами 2.1.5</w:t>
        </w:r>
      </w:hyperlink>
      <w:r>
        <w:rPr>
          <w:rFonts w:ascii="Calibri" w:hAnsi="Calibri" w:cs="Calibri"/>
        </w:rPr>
        <w:t xml:space="preserve"> и </w:t>
      </w:r>
      <w:hyperlink w:anchor="Par178" w:history="1">
        <w:r>
          <w:rPr>
            <w:rFonts w:ascii="Calibri" w:hAnsi="Calibri" w:cs="Calibri"/>
            <w:color w:val="0000FF"/>
          </w:rPr>
          <w:t>2.2.5</w:t>
        </w:r>
      </w:hyperlink>
      <w:r>
        <w:rPr>
          <w:rFonts w:ascii="Calibri" w:hAnsi="Calibri" w:cs="Calibri"/>
        </w:rPr>
        <w:t xml:space="preserve"> приложения, применяются в расчетах за указанные услуги в отношении объемов электрической энергии, потребленной: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садоводческими, огородническими или дачными некоммерческими объединениями граждан - некоммерческими организациями,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содержащимися за счет прихожан религиозными организациями.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В расчетах за оказанные услуги по передаче электрической энергии в отношении объемов электрической энергии, потребленных потребителями, приравненными к населению, перечисленными в </w:t>
      </w:r>
      <w:hyperlink r:id="rId1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приложения N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1178, в период с 01.01.2015 по 30.06.2015 применяются тарифы, установленные </w:t>
      </w:r>
      <w:hyperlink w:anchor="Par137" w:history="1">
        <w:r>
          <w:rPr>
            <w:rFonts w:ascii="Calibri" w:hAnsi="Calibri" w:cs="Calibri"/>
            <w:color w:val="0000FF"/>
          </w:rPr>
          <w:t>пунктами 2.1.4</w:t>
        </w:r>
      </w:hyperlink>
      <w:r>
        <w:rPr>
          <w:rFonts w:ascii="Calibri" w:hAnsi="Calibri" w:cs="Calibri"/>
        </w:rPr>
        <w:t xml:space="preserve"> и </w:t>
      </w:r>
      <w:hyperlink w:anchor="Par171" w:history="1">
        <w:r>
          <w:rPr>
            <w:rFonts w:ascii="Calibri" w:hAnsi="Calibri" w:cs="Calibri"/>
            <w:color w:val="0000FF"/>
          </w:rPr>
          <w:t>2.2.4</w:t>
        </w:r>
      </w:hyperlink>
      <w:r>
        <w:rPr>
          <w:rFonts w:ascii="Calibri" w:hAnsi="Calibri" w:cs="Calibri"/>
        </w:rPr>
        <w:t xml:space="preserve"> приложения.</w:t>
      </w: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0095" w:rsidRDefault="00ED0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C6FCF" w:rsidRDefault="001C6FCF"/>
    <w:sectPr w:rsidR="001C6FC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95"/>
    <w:rsid w:val="001C6FCF"/>
    <w:rsid w:val="00E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BBF5-1672-4F2A-940A-E4223A26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E7FD128C3D7A7E66CCA1A46B86D916424D55A32E24F3474B20AF2FFG1UBH" TargetMode="External"/><Relationship Id="rId13" Type="http://schemas.openxmlformats.org/officeDocument/2006/relationships/hyperlink" Target="consultantplus://offline/ref=963E7FD128C3D7A7E66CD41750D4339B67298D5F30E8426B2AED51AFA8127D34G5U1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E7FD128C3D7A7E66CCA1A46B86D916425D65537E14F3474B20AF2FFG1UBH" TargetMode="External"/><Relationship Id="rId12" Type="http://schemas.openxmlformats.org/officeDocument/2006/relationships/hyperlink" Target="consultantplus://offline/ref=963E7FD128C3D7A7E66CD41750D4339B67298D5F3FE145672CED51AFA8127D34G5U1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6D27CC84F41E3613C62ADA3B2F00E5A239A0BAF1C08A77B733306F68A8E9BD085C8A69B0B08F9H2U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E7FD128C3D7A7E66CCA1A46B86D916425D15B37E64F3474B20AF2FFG1UBH" TargetMode="External"/><Relationship Id="rId11" Type="http://schemas.openxmlformats.org/officeDocument/2006/relationships/hyperlink" Target="consultantplus://offline/ref=963E7FD128C3D7A7E66CCA1A46B86D916425D35132E44F3474B20AF2FF1B7763162DD2A66298B460G3U1H" TargetMode="External"/><Relationship Id="rId5" Type="http://schemas.openxmlformats.org/officeDocument/2006/relationships/hyperlink" Target="consultantplus://offline/ref=963E7FD128C3D7A7E66CD41750D4339B67298D5F3FE5466529ED51AFA8127D3451628BE42695B56130B89BG2U8H" TargetMode="External"/><Relationship Id="rId15" Type="http://schemas.openxmlformats.org/officeDocument/2006/relationships/hyperlink" Target="consultantplus://offline/ref=12E6D27CC84F41E3613C62ADA3B2F00E5A239A0BAF1C08A77B733306F68A8E9BD085C8A69B0B08F9H2U3H" TargetMode="External"/><Relationship Id="rId10" Type="http://schemas.openxmlformats.org/officeDocument/2006/relationships/hyperlink" Target="consultantplus://offline/ref=963E7FD128C3D7A7E66CCA1A46B86D916424D15635E24F3474B20AF2FF1B7763162DD2A66298B460G3U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3E7FD128C3D7A7E66CCA1A46B86D916424D2523FE84F3474B20AF2FFG1UBH" TargetMode="External"/><Relationship Id="rId14" Type="http://schemas.openxmlformats.org/officeDocument/2006/relationships/hyperlink" Target="consultantplus://offline/ref=963E7FD128C3D7A7E66CD41750D4339B67298D5F3FE5466529ED51AFA8127D3451628BE42695B56130B89BG2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2015-03-11T07:20:00Z</dcterms:created>
  <dcterms:modified xsi:type="dcterms:W3CDTF">2015-03-11T07:21:00Z</dcterms:modified>
</cp:coreProperties>
</file>