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603-р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ГАРАНТИРУЮЩИХ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ЭЛЕКТРИЧЕСКОЙ ЭНЕРГИИ НА ТЕРРИТОРИИ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НА 2014 ГОД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30.10.2012 N 703-э "Об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протоколов заседания правления Комитета по тарифам Санкт-Петербурга от 25.12.2013 N 1395, 1396, 1397, 1398: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сбытовые </w:t>
      </w:r>
      <w:hyperlink w:anchor="Par33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на территории Санкт-Петербурга на 2014 год согласно приложению к настоящему распоряжению.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01.01.2014 по 31.12.2014 с календарной разбивкой.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01.01.2014 </w:t>
      </w: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26.12.2012 N 602-р "Об установлении сбытовых надбавок гарантирующих поставщиков электрической энергии на территории Санкт-Петербурга на 2013 год".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Распоряжение вступает в силу с 01.01.2014, но не ранее дня его официального опубликования.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603-р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B3D35" w:rsidSect="001A4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СБЫТОВЫЕ НАДБАВКИ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ГАРАНТИРУЮЩИХ ПОСТАВЩИКОВ ЭЛЕКТРИЧЕСКОЙ ЭНЕРГИИ,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ПОСТАВЛЯЮЩИХ</w:t>
      </w:r>
      <w:proofErr w:type="gramEnd"/>
      <w:r>
        <w:rPr>
          <w:rFonts w:ascii="Calibri" w:hAnsi="Calibri" w:cs="Calibri"/>
          <w:b/>
          <w:bCs/>
        </w:rPr>
        <w:t xml:space="preserve"> ЭЛЕКТРИЧЕСКУЮ ЭНЕРГИЮ (МОЩНОСТЬ) НА РОЗНИЧНОМ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РЫНКЕ</w:t>
      </w:r>
      <w:proofErr w:type="gramEnd"/>
      <w:r>
        <w:rPr>
          <w:rFonts w:ascii="Calibri" w:hAnsi="Calibri" w:cs="Calibri"/>
          <w:b/>
          <w:bCs/>
        </w:rPr>
        <w:t xml:space="preserve"> НА ТЕРРИТОРИИ САНКТ-ПЕТЕРБУРГА, НА 2014 ГОД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(ТАРИФЫ УКАЗЫВАЮТСЯ БЕЗ НДС)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984"/>
        <w:gridCol w:w="1984"/>
      </w:tblGrid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"Петербургская сбытовая компания"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"ЭНЕРГИЯ ХОЛДИНГ"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"Оборонэнергосбыт" (филиал "Северо-Западный")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</w:tbl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984"/>
        <w:gridCol w:w="1984"/>
      </w:tblGrid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"Петербургская сбытовая компания"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"ЭНЕРГИЯ ХОЛДИНГ"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</w:t>
            </w:r>
          </w:p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"РУСЭНЕРГОСБЫТ"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"Оборонэнергосбыт" (филиал "Северо-Западный")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</w:tbl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2948"/>
        <w:gridCol w:w="7427"/>
        <w:gridCol w:w="6973"/>
      </w:tblGrid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"прочие потребители"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формулы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"Петербургская сбытовая компания"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05pt;height:27.65pt">
                  <v:imagedata r:id="rId11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87.05pt;height:27.65pt">
                  <v:imagedata r:id="rId11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219.85pt;height:27.65pt">
                  <v:imagedata r:id="rId12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219.85pt;height:27.65pt">
                  <v:imagedata r:id="rId12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219.2pt;height:27.65pt">
                  <v:imagedata r:id="rId13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219.2pt;height:27.65pt">
                  <v:imagedata r:id="rId13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207pt;height:27.65pt">
                  <v:imagedata r:id="rId14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207pt;height:27.65pt">
                  <v:imagedata r:id="rId14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"ЭНЕРГИЯ ХОЛДИНГ"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187.05pt;height:27.65pt">
                  <v:imagedata r:id="rId11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187.05pt;height:27.65pt">
                  <v:imagedata r:id="rId11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219.85pt;height:27.65pt">
                  <v:imagedata r:id="rId12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219.85pt;height:27.65pt">
                  <v:imagedata r:id="rId12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7" type="#_x0000_t75" style="width:219.2pt;height:27.65pt">
                  <v:imagedata r:id="rId13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219.2pt;height:27.65pt">
                  <v:imagedata r:id="rId13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9" type="#_x0000_t75" style="width:207pt;height:27.65pt">
                  <v:imagedata r:id="rId14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0" type="#_x0000_t75" style="width:207pt;height:27.65pt">
                  <v:imagedata r:id="rId14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1" type="#_x0000_t75" style="width:187.05pt;height:27.65pt">
                  <v:imagedata r:id="rId11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2" type="#_x0000_t75" style="width:187.05pt;height:27.65pt">
                  <v:imagedata r:id="rId11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3" type="#_x0000_t75" style="width:219.85pt;height:27.65pt">
                  <v:imagedata r:id="rId12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4" type="#_x0000_t75" style="width:219.85pt;height:27.65pt">
                  <v:imagedata r:id="rId12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5" type="#_x0000_t75" style="width:219.2pt;height:27.65pt">
                  <v:imagedata r:id="rId13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6" type="#_x0000_t75" style="width:219.2pt;height:27.65pt">
                  <v:imagedata r:id="rId13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7" type="#_x0000_t75" style="width:207pt;height:27.65pt">
                  <v:imagedata r:id="rId14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8" type="#_x0000_t75" style="width:207pt;height:27.65pt">
                  <v:imagedata r:id="rId14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"Оборонэнергосбыт" (филиал "Северо-Западный")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9" type="#_x0000_t75" style="width:187.05pt;height:27.65pt">
                  <v:imagedata r:id="rId11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0" type="#_x0000_t75" style="width:187.05pt;height:27.65pt">
                  <v:imagedata r:id="rId11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1" type="#_x0000_t75" style="width:219.85pt;height:27.65pt">
                  <v:imagedata r:id="rId12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2" type="#_x0000_t75" style="width:219.85pt;height:27.65pt">
                  <v:imagedata r:id="rId12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3" type="#_x0000_t75" style="width:219.2pt;height:27.65pt">
                  <v:imagedata r:id="rId13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4" type="#_x0000_t75" style="width:219.2pt;height:27.65pt">
                  <v:imagedata r:id="rId13" o:title=""/>
                </v:shape>
              </w:pic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5" type="#_x0000_t75" style="width:207pt;height:27.65pt">
                  <v:imagedata r:id="rId14" o:title=""/>
                </v:shape>
              </w:pic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6" type="#_x0000_t75" style="width:207pt;height:27.65pt">
                  <v:imagedata r:id="rId14" o:title=""/>
                </v:shape>
              </w:pict>
            </w:r>
          </w:p>
        </w:tc>
      </w:tr>
    </w:tbl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8"/>
        </w:rPr>
        <w:pict>
          <v:shape id="_x0000_i1057" type="#_x0000_t75" style="width:47.55pt;height:27.65pt">
            <v:imagedata r:id="rId15" o:title=""/>
          </v:shape>
        </w:pict>
      </w:r>
      <w:r>
        <w:rPr>
          <w:rFonts w:ascii="Calibri" w:hAnsi="Calibri" w:cs="Calibri"/>
        </w:rPr>
        <w:t xml:space="preserve"> - j-й вид цены на электрическую энергию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мощность гарантирующего поставщика электрической энергии, руб./кВт.ч или руб./кВт, указанный в </w:t>
      </w:r>
      <w:hyperlink r:id="rId16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58" type="#_x0000_t75" style="width:43.05pt;height:26.35pt">
            <v:imagedata r:id="rId17" o:title=""/>
          </v:shape>
        </w:pict>
      </w:r>
      <w:r>
        <w:rPr>
          <w:rFonts w:ascii="Calibri" w:hAnsi="Calibri" w:cs="Calibri"/>
        </w:rPr>
        <w:t xml:space="preserve"> - доходность продаж, определяемая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соответствующего гарантирующего поставщика электрической энергии в таблице: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Доходность продаж для группы "прочие потребители", (ДП) </w:t>
            </w:r>
            <w:hyperlink w:anchor="Par2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подгруппы с максимальной мощностью энергопринимающих устройств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gramStart"/>
            <w:r>
              <w:rPr>
                <w:rFonts w:ascii="Calibri" w:hAnsi="Calibri" w:cs="Calibri"/>
              </w:rPr>
              <w:t>полуг одие</w:t>
            </w:r>
            <w:proofErr w:type="gramEnd"/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"Петербургская </w:t>
            </w:r>
            <w:r>
              <w:rPr>
                <w:rFonts w:ascii="Calibri" w:hAnsi="Calibri" w:cs="Calibri"/>
              </w:rPr>
              <w:lastRenderedPageBreak/>
              <w:t>сбытовая компания"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"ЭНЕРГИЯ ХОЛДИНГ"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5,76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"Оборонэнергосбыт" (филиал "Северо-Западный")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5,79</w:t>
            </w:r>
          </w:p>
        </w:tc>
      </w:tr>
    </w:tbl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59" type="#_x0000_t75" style="width:36pt;height:26.35pt">
            <v:imagedata r:id="rId19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гарантирующего поставщика, определяемый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соответствующего гарантирующего поставщика электрической энергии в таблице: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2041"/>
        <w:gridCol w:w="2041"/>
      </w:tblGrid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поставщика, (</w:t>
            </w:r>
            <w:r>
              <w:rPr>
                <w:rFonts w:ascii="Calibri" w:hAnsi="Calibri" w:cs="Calibri"/>
                <w:position w:val="-16"/>
              </w:rPr>
              <w:pict>
                <v:shape id="_x0000_i1060" type="#_x0000_t75" style="width:36pt;height:26.35pt">
                  <v:imagedata r:id="rId19" o:title=""/>
                </v:shape>
              </w:pict>
            </w:r>
            <w:r>
              <w:rPr>
                <w:rFonts w:ascii="Calibri" w:hAnsi="Calibri" w:cs="Calibri"/>
              </w:rPr>
              <w:t xml:space="preserve">) </w:t>
            </w:r>
            <w:hyperlink w:anchor="Par2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"Петербургская сбытовая компания"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"ЭНЕРГИЯ ХОЛДИНГ"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0,640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0,405</w:t>
            </w:r>
          </w:p>
        </w:tc>
      </w:tr>
      <w:tr w:rsidR="003B3D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"Оборонэнергосбыт" (филиал "Северо-Западный")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5" w:rsidRDefault="003B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0,392</w:t>
            </w:r>
          </w:p>
        </w:tc>
      </w:tr>
    </w:tbl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5"/>
      <w:bookmarkEnd w:id="4"/>
      <w:r>
        <w:rPr>
          <w:rFonts w:ascii="Calibri" w:hAnsi="Calibri" w:cs="Calibri"/>
        </w:rPr>
        <w:t>1. Данные значения указываются в формуле.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Сбытовые надбавки для потребителей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 (</w:t>
      </w:r>
      <w:r>
        <w:rPr>
          <w:rFonts w:ascii="Calibri" w:hAnsi="Calibri" w:cs="Calibri"/>
          <w:position w:val="-18"/>
        </w:rPr>
        <w:pict>
          <v:shape id="_x0000_i1061" type="#_x0000_t75" style="width:65.55pt;height:27.65pt">
            <v:imagedata r:id="rId21" o:title=""/>
          </v:shape>
        </w:pict>
      </w:r>
      <w:r>
        <w:rPr>
          <w:rFonts w:ascii="Calibri" w:hAnsi="Calibri" w:cs="Calibri"/>
        </w:rPr>
        <w:t xml:space="preserve">), установлены в виде формулы, включающей цену на электрическую энергию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мощность в зоне гарантирующего поставщика (</w:t>
      </w:r>
      <w:r>
        <w:rPr>
          <w:rFonts w:ascii="Calibri" w:hAnsi="Calibri" w:cs="Calibri"/>
          <w:position w:val="-18"/>
        </w:rPr>
        <w:pict>
          <v:shape id="_x0000_i1062" type="#_x0000_t75" style="width:47.55pt;height:27.65pt">
            <v:imagedata r:id="rId15" o:title=""/>
          </v:shape>
        </w:pict>
      </w:r>
      <w:r>
        <w:rPr>
          <w:rFonts w:ascii="Calibri" w:hAnsi="Calibri" w:cs="Calibri"/>
        </w:rPr>
        <w:t>), доходность продаж гарантирующего поставщика в отношении подгруппы группы "прочие потребители</w:t>
      </w:r>
      <w:proofErr w:type="gramStart"/>
      <w:r>
        <w:rPr>
          <w:rFonts w:ascii="Calibri" w:hAnsi="Calibri" w:cs="Calibri"/>
        </w:rPr>
        <w:t>" (</w:t>
      </w:r>
      <w:r>
        <w:rPr>
          <w:rFonts w:ascii="Calibri" w:hAnsi="Calibri" w:cs="Calibri"/>
          <w:position w:val="-16"/>
        </w:rPr>
        <w:pict>
          <v:shape id="_x0000_i1063" type="#_x0000_t75" style="width:43.05pt;height:26.35pt">
            <v:imagedata r:id="rId22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и коэффициент, отражающий влияние региональных параметров деятельности гарантирующего поставщика на величину сбытовой надбавки в отношении группы "прочие потребители" (</w:t>
      </w:r>
      <w:r>
        <w:rPr>
          <w:rFonts w:ascii="Calibri" w:hAnsi="Calibri" w:cs="Calibri"/>
          <w:position w:val="-16"/>
        </w:rPr>
        <w:pict>
          <v:shape id="_x0000_i1064" type="#_x0000_t75" style="width:36pt;height:26.35pt">
            <v:imagedata r:id="rId19" o:title=""/>
          </v:shape>
        </w:pict>
      </w:r>
      <w:r>
        <w:rPr>
          <w:rFonts w:ascii="Calibri" w:hAnsi="Calibri" w:cs="Calibri"/>
        </w:rPr>
        <w:t>).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1 полугодие: с 01.01.2014 по 30.06.2014; 2 полугодие: с 01.07.2014 по 31.12.2014.</w:t>
      </w: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3D35" w:rsidRDefault="003B3D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3D35" w:rsidRDefault="003B3D35">
      <w:bookmarkStart w:id="5" w:name="_GoBack"/>
      <w:bookmarkEnd w:id="5"/>
    </w:p>
    <w:sectPr w:rsidR="003B3D3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35"/>
    <w:rsid w:val="003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AE9A592AF03891B375F46D8910BA2DFAAB26AC2786544B8410701BAR3i1I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95AE9A592AF03891B375F46D8910BA2DFACBE69C2716544B8410701BA3182C55AB057A48D4C0097R3i6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895AE9A592AF03891B375F46D8910BA2DFACBE69C2716544B8410701BAR3i1I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5AE9A592AF03891B375F46D8910BA2DFACBE69C2716544B8410701BA3182C55AB057A48D4C009FR3i2I" TargetMode="External"/><Relationship Id="rId20" Type="http://schemas.openxmlformats.org/officeDocument/2006/relationships/hyperlink" Target="consultantplus://offline/ref=895AE9A592AF03891B375F46D8910BA2DFACBE69C2716544B8410701BA3182C55AB057A48D4C0097R3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5F46D8910BA2DFAAB16CC5706544B8410701BAR3i1I" TargetMode="Externa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95AE9A592AF03891B375F46D8910BA2DFAAB267C6796544B8410701BAR3i1I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5AE9A592AF03891B374057CD910BA2DFACB56FCF7F6544B8410701BAR3i1I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AE9A592AF03891B374057CD910BA2DFABB568C77B6544B8410701BAR3i1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2014-02-17T08:34:00Z</dcterms:created>
  <dcterms:modified xsi:type="dcterms:W3CDTF">2014-02-17T08:36:00Z</dcterms:modified>
</cp:coreProperties>
</file>