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ТАРИФНОМУ РЕГУЛИРОВАНИЮ 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14/1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ПОСТАНОВЛЕНИЯ УПРАВЛЕНИЯ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ТАРИФНОМУ РЕГУЛИРОВАНИЮ 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09.12.2014 N 296-Э/2 "Об утверждении предельных уровней тарифов на услуги по передаче электрической энергии, оказываемые потр</w:t>
      </w:r>
      <w:bookmarkStart w:id="1" w:name="_GoBack"/>
      <w:bookmarkEnd w:id="1"/>
      <w:r>
        <w:rPr>
          <w:rFonts w:ascii="Calibri" w:hAnsi="Calibri" w:cs="Calibri"/>
        </w:rPr>
        <w:t xml:space="preserve">ебителям, не относящимся к населению и приравненным к нему категориям потребителей, по субъектам Российской Федерации на 2015 год",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 и на основании решения коллегии Управления по тарифному регулированию Мурманской области (протокол от 31 марта 2015 года) Управление по тарифному регулированию Мурманской области постановляет: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Управления по тарифному регулированию Мурманской области от 19.12.2014 N 62/39 "Об установлении единых (котловых) тарифов на услуги по передаче электрической энергии для потребителей Мурманской области на 2015 год" (в редакции постановления Управления по тарифному регулированию Мурманской области от 16.01.2015 N 3/1):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Изложить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в следующей редакции: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"Установить единые (котловые) тарифы на услуги по передаче электрической энергии для потребителей Мурманской области на 2015 год согласно </w:t>
      </w:r>
      <w:hyperlink w:anchor="Par45" w:history="1">
        <w:proofErr w:type="gramStart"/>
        <w:r>
          <w:rPr>
            <w:rFonts w:ascii="Calibri" w:hAnsi="Calibri" w:cs="Calibri"/>
            <w:color w:val="0000FF"/>
          </w:rPr>
          <w:t>приложениям</w:t>
        </w:r>
        <w:proofErr w:type="gramEnd"/>
        <w:r>
          <w:rPr>
            <w:rFonts w:ascii="Calibri" w:hAnsi="Calibri" w:cs="Calibri"/>
            <w:color w:val="0000FF"/>
          </w:rPr>
          <w:t xml:space="preserve"> N 1</w:t>
        </w:r>
      </w:hyperlink>
      <w:r>
        <w:rPr>
          <w:rFonts w:ascii="Calibri" w:hAnsi="Calibri" w:cs="Calibri"/>
        </w:rPr>
        <w:t xml:space="preserve"> - </w:t>
      </w:r>
      <w:hyperlink w:anchor="Par18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постановлению.".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Изложить </w:t>
      </w: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в следующей редакции: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w:anchor="Par337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экономически обоснованных единых (котловых) тарифов на услуги по передаче электрической энергии указан в приложении N 3 к настоящему постановлению.".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Дополнить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пунктом 4 в следующей редакции: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w:anchor="Par582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для целей расчета единых (котловых) тарифов на услуги по передаче электрической энергии указаны в приложении N 4 к настоящему постановлению.".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Дополнить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пунктом 5 в следующей редакции: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"Настоящее постановление вступает в силу в установленном порядке.".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Изложить </w:t>
      </w:r>
      <w:hyperlink r:id="rId1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</w:t>
      </w:r>
      <w:hyperlink w:anchor="Par4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приложения N 1 к настоящему постановлению.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Дополнить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приложениями N 2 - 4 в редакции </w:t>
      </w:r>
      <w:hyperlink w:anchor="Par183" w:history="1">
        <w:r>
          <w:rPr>
            <w:rFonts w:ascii="Calibri" w:hAnsi="Calibri" w:cs="Calibri"/>
            <w:color w:val="0000FF"/>
          </w:rPr>
          <w:t>приложений N 2</w:t>
        </w:r>
      </w:hyperlink>
      <w:r>
        <w:rPr>
          <w:rFonts w:ascii="Calibri" w:hAnsi="Calibri" w:cs="Calibri"/>
        </w:rPr>
        <w:t xml:space="preserve"> - </w:t>
      </w:r>
      <w:hyperlink w:anchor="Par58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изменения в 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Управления по тарифному регулированию Мурманской области от 16.01.2015 N 3/1 "О внесении изменений в постановление Управления по тарифному регулированию Мурманской области от 19.12.2014 N 62/39", изложив его в следующей редакции: "Настоящее постановление вступает в силу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начальника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В.ГУБИНСКИЙ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 N 1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14/1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62/39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C71AC" w:rsidSect="00A01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5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МУРМАНСКОЙ ОБЛАСТИ, ПОСТАВЛЯЕМОЙ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ПРОЧИМ ПОТРЕБИТЕЛЯМ </w:t>
      </w:r>
      <w:hyperlink w:anchor="Par162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  <w:r>
        <w:rPr>
          <w:rFonts w:ascii="Calibri" w:hAnsi="Calibri" w:cs="Calibri"/>
          <w:b/>
          <w:bCs/>
        </w:rPr>
        <w:t xml:space="preserve"> НА 2015 ГОД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1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6197"/>
        <w:gridCol w:w="1644"/>
        <w:gridCol w:w="1361"/>
        <w:gridCol w:w="1304"/>
        <w:gridCol w:w="1361"/>
        <w:gridCol w:w="1247"/>
        <w:gridCol w:w="1247"/>
      </w:tblGrid>
      <w:tr w:rsidR="001C71AC" w:rsidTr="001C71AC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C71AC" w:rsidTr="001C71AC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потребители (тарифы указываются без учета НДС) </w:t>
            </w:r>
            <w:hyperlink w:anchor="Par1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205728,33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613384,08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665471,00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880109,29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276,37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2,32732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923587,00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474760,00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215905,00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96288,00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136634,00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194,932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151,841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841,749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172,264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171,684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потребители (тарифы указываются без учета НДС) </w:t>
            </w:r>
            <w:hyperlink w:anchor="Par1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236896,90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660275,94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869771,50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836103,83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169,09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1,49265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1,94765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2,55858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835968,73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472583,00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196243,00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144705,00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22437,73</w:t>
            </w:r>
          </w:p>
        </w:tc>
      </w:tr>
      <w:tr w:rsidR="001C71AC" w:rsidTr="001C71A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187,662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835,673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635,336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31,669</w:t>
            </w:r>
          </w:p>
        </w:tc>
      </w:tr>
    </w:tbl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C71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утверждения предельных уровней тарифов на услуги по передаче электрической энергии по уровню напряжения ВН-1 в виде формулы соответствующие тарифы устанавливаются органами исполнительной власти субъектов Российской Федерации в области государственного регулирования тарифов также в виде формулы.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2"/>
      <w:bookmarkEnd w:id="4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3"/>
      <w:bookmarkEnd w:id="5"/>
      <w:r>
        <w:rPr>
          <w:rFonts w:ascii="Calibri" w:hAnsi="Calibri" w:cs="Calibri"/>
        </w:rPr>
        <w:t>&lt;3&gt;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</w:t>
      </w:r>
      <w:proofErr w:type="spellStart"/>
      <w:r>
        <w:rPr>
          <w:rFonts w:ascii="Calibri" w:hAnsi="Calibri" w:cs="Calibri"/>
        </w:rPr>
        <w:t>одноставочный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двухставочный</w:t>
      </w:r>
      <w:proofErr w:type="spellEnd"/>
      <w:r>
        <w:rPr>
          <w:rFonts w:ascii="Calibri" w:hAnsi="Calibri" w:cs="Calibri"/>
        </w:rPr>
        <w:t>). При этом соответствующие графы необходимо объединить в рамках календарной разбивки.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4"/>
      <w:bookmarkEnd w:id="6"/>
      <w:r>
        <w:rPr>
          <w:rFonts w:ascii="Calibri" w:hAnsi="Calibri" w:cs="Calibri"/>
        </w:rPr>
        <w:t xml:space="preserve">&lt;4&gt; В случае принятия решения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(далее - Основы ценообразования) (Собрание законодательства Российской Федерации, 2012, N 4, ст. 504; N 16, ст. 1883; N 20, ст. 2539; N 23, ст. 3008; N 24, ст. 3185; N 28, ст. 3897; N 41, ст. 5636; 2013, N 1, ст. 68; N 21, ст. 2647; N 22, ст. 2817; N 26, ст. 3337; N 27, ст. 3602; N 31, ст. 4216, ст. 4234; N 35, ст. 4528; N 44, ст. 5754; N 47, ст. 6105; 2014, N 2, ст. 89; N 2 (часть I), ст. 131; N 8, ст. 813; N 9, ст. 919; N 11, ст. 1156; N 23, ст. 2994; N 25, ст. 3311; N 28, ст. 4050; N 32, ст. 4521; N 34, ст. 4659; N 33, ст. 4596; N 34, ст. 4677; N 35, ст. 4769; N 44, ст. 6078; официальный интернет-портал правовой информации http://www.pravo.gov.ru, 12.12.2014, N 0001201412120021)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выше" и "ниже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" данные заполняются по графам, относящимся к уровням напряжения "СН-I" и "CH-II" соответственно. При этом графы, соответствующие "ВН" и "НН", в тарифном решении не отражаются.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5"/>
      <w:bookmarkEnd w:id="7"/>
      <w:r>
        <w:rPr>
          <w:rFonts w:ascii="Calibri" w:hAnsi="Calibri" w:cs="Calibri"/>
        </w:rPr>
        <w:t xml:space="preserve">&lt;5&gt; По уровням напряжения ВН, СН-I, СН-II, НН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 указывается удельная величина перекрестного субсидирования.".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71"/>
      <w:bookmarkEnd w:id="8"/>
      <w:r>
        <w:rPr>
          <w:rFonts w:ascii="Calibri" w:hAnsi="Calibri" w:cs="Calibri"/>
        </w:rPr>
        <w:t>Приложение N 2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14/1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62/39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C71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83"/>
      <w:bookmarkEnd w:id="9"/>
      <w:r>
        <w:rPr>
          <w:rFonts w:ascii="Calibri" w:hAnsi="Calibri" w:cs="Calibri"/>
          <w:b/>
          <w:bCs/>
        </w:rPr>
        <w:t>ЕДИНЫЕ (КОТЛОВЫЕ) ТАРИФЫ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ОБЛАСТИ, ПОСТАВЛЯЕМОЙ НАСЕЛЕНИЮ И ПРИРАВНЕННЫМ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НЕМУ КАТЕГОРИЯМ ПОТРЕБИТЕЛЕЙ НА 2015 ГОД </w:t>
      </w:r>
      <w:hyperlink w:anchor="Par315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9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619"/>
        <w:gridCol w:w="1417"/>
        <w:gridCol w:w="2268"/>
        <w:gridCol w:w="2154"/>
      </w:tblGrid>
      <w:tr w:rsidR="001C71AC" w:rsidTr="001C71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C71AC" w:rsidTr="001C71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C71AC" w:rsidTr="001C71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198"/>
            <w:bookmarkEnd w:id="1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"Население и приравненные к нему категории потребителей (тарифы указываются без учета НДС)" </w:t>
            </w:r>
            <w:hyperlink w:anchor="Par31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218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0,66212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0,68991</w:t>
            </w: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209"/>
            <w:bookmarkEnd w:id="11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0,66212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0,68991</w:t>
            </w: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218"/>
            <w:bookmarkEnd w:id="12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0,66212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0,68991</w:t>
            </w:r>
          </w:p>
        </w:tc>
      </w:tr>
      <w:tr w:rsidR="001C71AC" w:rsidTr="001C71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0,66212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0,68991</w:t>
            </w: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0,66212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0,68991</w:t>
            </w: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0,66212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0,68991</w:t>
            </w: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0,66212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0,68991</w:t>
            </w:r>
          </w:p>
        </w:tc>
      </w:tr>
      <w:tr w:rsidR="001C71AC" w:rsidTr="001C71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(тарифы указываются без учета НДС) </w:t>
            </w:r>
            <w:hyperlink w:anchor="Par31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275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267"/>
            <w:bookmarkEnd w:id="13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rPr>
                <w:rFonts w:ascii="Calibri" w:hAnsi="Calibri" w:cs="Calibri"/>
              </w:rPr>
              <w:lastRenderedPageBreak/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275"/>
            <w:bookmarkEnd w:id="14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C71AC" w:rsidTr="001C71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C71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15"/>
      <w:bookmarkEnd w:id="15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16"/>
      <w:bookmarkEnd w:id="16"/>
      <w:r>
        <w:rPr>
          <w:rFonts w:ascii="Calibri" w:hAnsi="Calibri" w:cs="Calibri"/>
        </w:rPr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заполняются только пункты 1 - 1.4.5, при этом </w:t>
      </w:r>
      <w:hyperlink w:anchor="Par198" w:history="1">
        <w:r>
          <w:rPr>
            <w:rFonts w:ascii="Calibri" w:hAnsi="Calibri" w:cs="Calibri"/>
            <w:color w:val="0000FF"/>
          </w:rPr>
          <w:t>строка 1</w:t>
        </w:r>
      </w:hyperlink>
      <w:r>
        <w:rPr>
          <w:rFonts w:ascii="Calibri" w:hAnsi="Calibri" w:cs="Calibri"/>
        </w:rPr>
        <w:t xml:space="preserve"> обозначается как "Население и приравненные к нему категории потребителей (тарифы указываются без учета НДС)".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17"/>
      <w:bookmarkEnd w:id="17"/>
      <w:r>
        <w:rPr>
          <w:rFonts w:ascii="Calibri" w:hAnsi="Calibri" w:cs="Calibri"/>
        </w:rPr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323"/>
      <w:bookmarkEnd w:id="18"/>
      <w:r>
        <w:rPr>
          <w:rFonts w:ascii="Calibri" w:hAnsi="Calibri" w:cs="Calibri"/>
        </w:rPr>
        <w:t>Приложение N 3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14/1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62/39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N 1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C71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337"/>
      <w:bookmarkEnd w:id="19"/>
      <w:r>
        <w:rPr>
          <w:rFonts w:ascii="Calibri" w:hAnsi="Calibri" w:cs="Calibri"/>
          <w:b/>
          <w:bCs/>
        </w:rPr>
        <w:t>РАЗМЕР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ЭКОНОМИЧЕСКИ ОБОСНОВАННЫХ ЕДИНЫХ (КОТЛОВЫХ) ТАРИФОВ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СЕТЯМ МУРМАНСКОЙ ОБЛАСТИ НА 2015 ГОД </w:t>
      </w:r>
      <w:hyperlink w:anchor="Par560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5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5472"/>
        <w:gridCol w:w="1644"/>
        <w:gridCol w:w="1741"/>
        <w:gridCol w:w="1701"/>
        <w:gridCol w:w="1843"/>
        <w:gridCol w:w="1843"/>
      </w:tblGrid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45" w:history="1">
              <w:r>
                <w:rPr>
                  <w:rFonts w:ascii="Calibri" w:hAnsi="Calibri" w:cs="Calibri"/>
                  <w:color w:val="0000FF"/>
                </w:rPr>
                <w:t>приложением N 1</w:t>
              </w:r>
            </w:hyperlink>
            <w:r>
              <w:rPr>
                <w:rFonts w:ascii="Calibri" w:hAnsi="Calibri" w:cs="Calibri"/>
              </w:rPr>
              <w:t xml:space="preserve"> к постановлению Управления по тарифному регулированию Мурманской области от 31.03.2015 N 14/1: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56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6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205728,33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613384,08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880109,29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276,37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2,32732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обоснованных единые (котловые) тарифы на услуги по передаче электрической энергии (тарифы указываются без учета НДС) </w:t>
            </w:r>
            <w:hyperlink w:anchor="Par56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6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236896,90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660275,94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869771,50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836103,83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169,09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2,55858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w:anchor="Par56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"Кольская ГМК"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18542,64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"Апатит"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42039,72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"СУАЛ" (филиал "КАЗ - СУАЛ")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"Автоколонна 1118"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853,18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морской рыбный порт"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18748,84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Гимея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4178,85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"СЕВМОРНЕФТЕГЕОФИЗИКА"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(филиал Октябрьская железная дорога)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28586,09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"Звездочка" (филиал "35 СРЗ")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2939,57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Мурманск"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1255,22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hAnsi="Calibri" w:cs="Calibri"/>
              </w:rPr>
              <w:t>Рейзвих</w:t>
            </w:r>
            <w:proofErr w:type="spellEnd"/>
            <w:r>
              <w:rPr>
                <w:rFonts w:ascii="Calibri" w:hAnsi="Calibri" w:cs="Calibri"/>
              </w:rPr>
              <w:t xml:space="preserve"> Андрей </w:t>
            </w:r>
            <w:proofErr w:type="spellStart"/>
            <w:r>
              <w:rPr>
                <w:rFonts w:ascii="Calibri" w:hAnsi="Calibri" w:cs="Calibri"/>
              </w:rPr>
              <w:t>Кокарович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морской торговый порт"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1888,49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"82 Судоремонтный завод"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комбинат хлебопродуктов"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Звездочка" (филиал "СРЗ "Нерпа")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346,76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ПГИ КНЦ РАН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571,91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"Сервис"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4956,97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"Городские сети"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1224,29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Сатка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1509,38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"Гольфстрим-</w:t>
            </w:r>
            <w:proofErr w:type="spellStart"/>
            <w:r>
              <w:rPr>
                <w:rFonts w:ascii="Calibri" w:hAnsi="Calibri" w:cs="Calibri"/>
              </w:rPr>
              <w:t>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3531,64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ИнвестПроектЛимитед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2080,48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"Кольский")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628239,74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260,90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"Кировская городская электрическая сеть"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46481,89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УМПП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ЗАТО Александровск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12962,05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"Городская электрическая сеть" ЗАТО Островной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58337,32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Мурманэнергосбыт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138382,01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550,49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"ПКФ Завод 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986,53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"Мурманская областная электросетевая компания"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503892,46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5462,34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"АЭСК"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58833,37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Мончегорские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81206,92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"Просвет"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17965,28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"Мурманская судоверфь - Энергосеть"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29568,78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Северо-Запада" "Колэнерго"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4769375,73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34235,75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ПрофСервис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6481166,78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40509,48</w:t>
            </w:r>
          </w:p>
        </w:tc>
      </w:tr>
    </w:tbl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C71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60"/>
      <w:bookmarkEnd w:id="20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61"/>
      <w:bookmarkEnd w:id="21"/>
      <w:r>
        <w:rPr>
          <w:rFonts w:ascii="Calibri" w:hAnsi="Calibri" w:cs="Calibri"/>
        </w:rPr>
        <w:t>&lt;2&gt;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энергии. При этом соответствующие графы необходимо объединить в рамках календарной разбивки.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562"/>
      <w:bookmarkEnd w:id="22"/>
      <w:r>
        <w:rPr>
          <w:rFonts w:ascii="Calibri" w:hAnsi="Calibri" w:cs="Calibri"/>
        </w:rPr>
        <w:t xml:space="preserve">&lt;3&gt; В случае принятия решения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24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выше" и "ниже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" данные заполняются по графам, относящимся к уровням напряжения "СН-I" и "СН-II" соответственно. При этом графы, соответствующие "ВН" и "НН", в тарифном решении не отражаются.".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568"/>
      <w:bookmarkEnd w:id="23"/>
      <w:r>
        <w:rPr>
          <w:rFonts w:ascii="Calibri" w:hAnsi="Calibri" w:cs="Calibri"/>
        </w:rPr>
        <w:t>Приложение N 4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14/1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4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62/39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N 2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C71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582"/>
      <w:bookmarkEnd w:id="24"/>
      <w:r>
        <w:rPr>
          <w:rFonts w:ascii="Calibri" w:hAnsi="Calibri" w:cs="Calibri"/>
          <w:b/>
          <w:bCs/>
        </w:rPr>
        <w:t>ПОКАЗАТЕЛИ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ЦЕЛЕЙ РАСЧЕТА ЕДИНЫХ (КОТЛОВЫХ) ТАРИФОВ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МУРМАНСКОЙ ОБЛАСТИ НА 2015 ГОД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47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5614"/>
        <w:gridCol w:w="1304"/>
        <w:gridCol w:w="964"/>
        <w:gridCol w:w="1067"/>
        <w:gridCol w:w="850"/>
        <w:gridCol w:w="842"/>
        <w:gridCol w:w="964"/>
        <w:gridCol w:w="843"/>
        <w:gridCol w:w="842"/>
        <w:gridCol w:w="850"/>
      </w:tblGrid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8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8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45" w:history="1">
              <w:r>
                <w:rPr>
                  <w:rFonts w:ascii="Calibri" w:hAnsi="Calibri" w:cs="Calibri"/>
                  <w:color w:val="0000FF"/>
                </w:rPr>
                <w:t>приложением N 1</w:t>
              </w:r>
            </w:hyperlink>
            <w:r>
              <w:rPr>
                <w:rFonts w:ascii="Calibri" w:hAnsi="Calibri" w:cs="Calibri"/>
              </w:rPr>
              <w:t xml:space="preserve"> к постановлению Управления по тарифному регулированию Мурманской области от 31.03.2015 N 14/1: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708,5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626"/>
            <w:bookmarkEnd w:id="25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"Население и приравненные к нему категории потребителей" (тарифы указываются с учетом НДС) </w:t>
            </w:r>
            <w:hyperlink w:anchor="Par8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642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56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137,56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642"/>
            <w:bookmarkEnd w:id="26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320,26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7" w:name="Par656"/>
            <w:bookmarkEnd w:id="27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>
              <w:rPr>
                <w:rFonts w:ascii="Calibri" w:hAnsi="Calibri" w:cs="Calibri"/>
              </w:rP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30,50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6,62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>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11,20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10,95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8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30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44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</w:t>
            </w:r>
            <w:r>
              <w:rPr>
                <w:rFonts w:ascii="Calibri" w:hAnsi="Calibri" w:cs="Calibri"/>
              </w:rPr>
              <w:lastRenderedPageBreak/>
              <w:t>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8" w:name="Par730"/>
            <w:bookmarkEnd w:id="28"/>
            <w:r>
              <w:rPr>
                <w:rFonts w:ascii="Calibri" w:hAnsi="Calibri" w:cs="Calibri"/>
              </w:rPr>
              <w:lastRenderedPageBreak/>
              <w:t>1.2.2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9" w:name="Par744"/>
            <w:bookmarkEnd w:id="29"/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1.2.4.2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1.2.4.5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211,9</w:t>
            </w: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281,4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0" w:name="Par824"/>
            <w:bookmarkEnd w:id="30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"Население и приравненные к нему категории потребителей" (тарифы указываются с учетом НДС) </w:t>
            </w:r>
            <w:hyperlink w:anchor="Par8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204,7</w:t>
            </w:r>
          </w:p>
        </w:tc>
      </w:tr>
      <w:tr w:rsidR="001C71AC" w:rsidTr="001C71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8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C71AC" w:rsidTr="001C71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1AC" w:rsidTr="001C71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AC" w:rsidRDefault="001C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862"/>
      <w:bookmarkEnd w:id="31"/>
      <w:r>
        <w:rPr>
          <w:rFonts w:ascii="Calibri" w:hAnsi="Calibri" w:cs="Calibri"/>
        </w:rPr>
        <w:t xml:space="preserve">&lt;1&gt; В случае принятия решения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об утверждении единых (котловых) тарифов на услуги по </w:t>
      </w:r>
      <w:r>
        <w:rPr>
          <w:rFonts w:ascii="Calibri" w:hAnsi="Calibri" w:cs="Calibri"/>
        </w:rPr>
        <w:lastRenderedPageBreak/>
        <w:t xml:space="preserve">передаче электрической энергии по одному из вариантов тарифа, предусмотренных </w:t>
      </w:r>
      <w:hyperlink r:id="rId28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выше" и "ниже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" данные заполняются по графам, относящимся к уровням напряжения "СН-I" и "СН-II" соответственно. При этом графы, соответствующие "ВН" и "НН", в тарифном решении не отражаются.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863"/>
      <w:bookmarkEnd w:id="32"/>
      <w:r>
        <w:rPr>
          <w:rFonts w:ascii="Calibri" w:hAnsi="Calibri" w:cs="Calibri"/>
        </w:rPr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по группе население и приравненные к нему категории потребителей заполняются строки 1.1.1 - 1.4.5 и 2.1. При этом </w:t>
      </w:r>
      <w:hyperlink w:anchor="Par626" w:history="1">
        <w:r>
          <w:rPr>
            <w:rFonts w:ascii="Calibri" w:hAnsi="Calibri" w:cs="Calibri"/>
            <w:color w:val="0000FF"/>
          </w:rPr>
          <w:t>строки 1.1</w:t>
        </w:r>
      </w:hyperlink>
      <w:r>
        <w:rPr>
          <w:rFonts w:ascii="Calibri" w:hAnsi="Calibri" w:cs="Calibri"/>
        </w:rPr>
        <w:t xml:space="preserve"> и </w:t>
      </w:r>
      <w:hyperlink w:anchor="Par82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и обозначаются как "Население и приравненные к нему категории потребителей" (тарифы указываются с учетом НДС).".</w:t>
      </w: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1AC" w:rsidRDefault="001C71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C"/>
    <w:rsid w:val="001C71AC"/>
    <w:rsid w:val="004D037F"/>
    <w:rsid w:val="005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F296-4202-48DA-9378-050441A0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7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7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AC46FD30FD7FDB91A7FC5112023991E53FA938AECFD8BB492C76AE5B6587EJ1v4M" TargetMode="External"/><Relationship Id="rId13" Type="http://schemas.openxmlformats.org/officeDocument/2006/relationships/hyperlink" Target="consultantplus://offline/ref=253AC46FD30FD7FDB91A7FC5112023991E53FA938AEFFA88B592C76AE5B6587EJ1v4M" TargetMode="External"/><Relationship Id="rId18" Type="http://schemas.openxmlformats.org/officeDocument/2006/relationships/hyperlink" Target="consultantplus://offline/ref=253AC46FD30FD7FDB91A7FC5112023991E53FA938AEEF98CB592C76AE5B6587E14FF3FB3F2630414176933JDv0M" TargetMode="External"/><Relationship Id="rId26" Type="http://schemas.openxmlformats.org/officeDocument/2006/relationships/hyperlink" Target="consultantplus://offline/ref=253AC46FD30FD7FDB91A61C8074C7D9C185FA19789EBF2DBE1CD9C37B2BF522953B066F1BEJ6v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3AC46FD30FD7FDB91A61C8074C7D9C185FA19789EBF2DBE1CD9C37B2BF522953B066F1BEJ6vEM" TargetMode="External"/><Relationship Id="rId7" Type="http://schemas.openxmlformats.org/officeDocument/2006/relationships/hyperlink" Target="consultantplus://offline/ref=253AC46FD30FD7FDB91A61C8074C7D9C185FA6978DE2F2DBE1CD9C37B2JBvFM" TargetMode="External"/><Relationship Id="rId12" Type="http://schemas.openxmlformats.org/officeDocument/2006/relationships/hyperlink" Target="consultantplus://offline/ref=253AC46FD30FD7FDB91A7FC5112023991E53FA938AEFFA88B592C76AE5B6587EJ1v4M" TargetMode="External"/><Relationship Id="rId17" Type="http://schemas.openxmlformats.org/officeDocument/2006/relationships/hyperlink" Target="consultantplus://offline/ref=253AC46FD30FD7FDB91A7FC5112023991E53FA938AEEF98CB592C76AE5B6587E14FF3FB3F2630414176933JDv0M" TargetMode="External"/><Relationship Id="rId25" Type="http://schemas.openxmlformats.org/officeDocument/2006/relationships/hyperlink" Target="consultantplus://offline/ref=253AC46FD30FD7FDB91A61C8074C7D9C185FA19789EBF2DBE1CD9C37B2BF522953B066F1BEJ6v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3AC46FD30FD7FDB91A7FC5112023991E53FA938AEFFB89BC92C76AE5B6587E14FF3FB3F2630414176930JDv4M" TargetMode="External"/><Relationship Id="rId20" Type="http://schemas.openxmlformats.org/officeDocument/2006/relationships/hyperlink" Target="consultantplus://offline/ref=253AC46FD30FD7FDB91A61C8074C7D9C185FA19789EBF2DBE1CD9C37B2BF522953B066F1B66E0D11J1vE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AC46FD30FD7FDB91A61C8074C7D9C185FA19789EBF2DBE1CD9C37B2JBvFM" TargetMode="External"/><Relationship Id="rId11" Type="http://schemas.openxmlformats.org/officeDocument/2006/relationships/hyperlink" Target="consultantplus://offline/ref=253AC46FD30FD7FDB91A7FC5112023991E53FA938AEFFA88B592C76AE5B6587E14FF3FB3F2630414176930JDv5M" TargetMode="External"/><Relationship Id="rId24" Type="http://schemas.openxmlformats.org/officeDocument/2006/relationships/hyperlink" Target="consultantplus://offline/ref=253AC46FD30FD7FDB91A61C8074C7D9C185FA19789EBF2DBE1CD9C37B2BF522953B066F1B66E0D11J1vEM" TargetMode="External"/><Relationship Id="rId5" Type="http://schemas.openxmlformats.org/officeDocument/2006/relationships/hyperlink" Target="consultantplus://offline/ref=253AC46FD30FD7FDB91A61C8074C7D9C185FA6978FEDF2DBE1CD9C37B2JBvFM" TargetMode="External"/><Relationship Id="rId15" Type="http://schemas.openxmlformats.org/officeDocument/2006/relationships/hyperlink" Target="consultantplus://offline/ref=253AC46FD30FD7FDB91A7FC5112023991E53FA938AEFFA88B592C76AE5B6587EJ1v4M" TargetMode="External"/><Relationship Id="rId23" Type="http://schemas.openxmlformats.org/officeDocument/2006/relationships/hyperlink" Target="consultantplus://offline/ref=253AC46FD30FD7FDB91A61C8074C7D9C185FA19789EBF2DBE1CD9C37B2BF522953B066F1B66F0614J1v6M" TargetMode="External"/><Relationship Id="rId28" Type="http://schemas.openxmlformats.org/officeDocument/2006/relationships/hyperlink" Target="consultantplus://offline/ref=253AC46FD30FD7FDB91A61C8074C7D9C185FA19789EBF2DBE1CD9C37B2BF522953B066F1B66E0D11J1vEM" TargetMode="External"/><Relationship Id="rId10" Type="http://schemas.openxmlformats.org/officeDocument/2006/relationships/hyperlink" Target="consultantplus://offline/ref=253AC46FD30FD7FDB91A7FC5112023991E53FA938AEFFA88B592C76AE5B6587E14FF3FB3F2630414176930JDv7M" TargetMode="External"/><Relationship Id="rId19" Type="http://schemas.openxmlformats.org/officeDocument/2006/relationships/hyperlink" Target="consultantplus://offline/ref=253AC46FD30FD7FDB91A61C8074C7D9C185FA19789EBF2DBE1CD9C37B2BF522953B066F1B66F0614J1v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3AC46FD30FD7FDB91A7FC5112023991E53FA938AEFFA88B592C76AE5B6587EJ1v4M" TargetMode="External"/><Relationship Id="rId14" Type="http://schemas.openxmlformats.org/officeDocument/2006/relationships/hyperlink" Target="consultantplus://offline/ref=253AC46FD30FD7FDB91A7FC5112023991E53FA938AEFFA88B592C76AE5B6587E14FF3FB3F2630414176B30JDv6M" TargetMode="External"/><Relationship Id="rId22" Type="http://schemas.openxmlformats.org/officeDocument/2006/relationships/hyperlink" Target="consultantplus://offline/ref=253AC46FD30FD7FDB91A61C8074C7D9C185FA19789EBF2DBE1CD9C37B2BF522953B066F1BEJ6vEM" TargetMode="External"/><Relationship Id="rId27" Type="http://schemas.openxmlformats.org/officeDocument/2006/relationships/hyperlink" Target="consultantplus://offline/ref=253AC46FD30FD7FDB91A61C8074C7D9C185FA19789EBF2DBE1CD9C37B2BF522953B066F1B66F0614J1v6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8035</Words>
  <Characters>45802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2015-04-30T12:47:00Z</dcterms:created>
  <dcterms:modified xsi:type="dcterms:W3CDTF">2015-04-30T13:44:00Z</dcterms:modified>
</cp:coreProperties>
</file>