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90" w:rsidRDefault="003F7990">
      <w:pPr>
        <w:pStyle w:val="ConsPlusTitlePage"/>
      </w:pPr>
      <w:r>
        <w:t xml:space="preserve">Документ предоставлен </w:t>
      </w:r>
      <w:hyperlink r:id="rId4" w:history="1">
        <w:r>
          <w:rPr>
            <w:color w:val="0000FF"/>
          </w:rPr>
          <w:t>КонсультантПлюс</w:t>
        </w:r>
      </w:hyperlink>
      <w:r>
        <w:br/>
      </w:r>
    </w:p>
    <w:p w:rsidR="003F7990" w:rsidRDefault="003F7990">
      <w:pPr>
        <w:pStyle w:val="ConsPlusNormal"/>
        <w:jc w:val="both"/>
        <w:outlineLvl w:val="0"/>
      </w:pPr>
    </w:p>
    <w:p w:rsidR="003F7990" w:rsidRDefault="003F7990">
      <w:pPr>
        <w:pStyle w:val="ConsPlusTitle"/>
        <w:jc w:val="center"/>
      </w:pPr>
      <w:r>
        <w:t>МИНИСТЕРСТВО ТАРИФНОГО РЕГУЛИРОВАНИЯ И ЭНЕРГЕТИКИ</w:t>
      </w:r>
    </w:p>
    <w:p w:rsidR="003F7990" w:rsidRDefault="003F7990">
      <w:pPr>
        <w:pStyle w:val="ConsPlusTitle"/>
        <w:jc w:val="center"/>
      </w:pPr>
      <w:r>
        <w:t>ПЕРМСКОГО КРАЯ</w:t>
      </w:r>
    </w:p>
    <w:p w:rsidR="003F7990" w:rsidRDefault="003F7990">
      <w:pPr>
        <w:pStyle w:val="ConsPlusTitle"/>
        <w:jc w:val="center"/>
      </w:pPr>
    </w:p>
    <w:p w:rsidR="003F7990" w:rsidRDefault="003F7990">
      <w:pPr>
        <w:pStyle w:val="ConsPlusTitle"/>
        <w:jc w:val="center"/>
      </w:pPr>
      <w:r>
        <w:t>ПОСТАНОВЛЕНИЕ</w:t>
      </w:r>
    </w:p>
    <w:p w:rsidR="003F7990" w:rsidRDefault="003F7990">
      <w:pPr>
        <w:pStyle w:val="ConsPlusTitle"/>
        <w:jc w:val="center"/>
      </w:pPr>
      <w:r>
        <w:t>от 28 июня 2021 г. N 6-э</w:t>
      </w:r>
    </w:p>
    <w:p w:rsidR="003F7990" w:rsidRDefault="003F7990">
      <w:pPr>
        <w:pStyle w:val="ConsPlusTitle"/>
        <w:jc w:val="center"/>
      </w:pPr>
    </w:p>
    <w:p w:rsidR="003F7990" w:rsidRDefault="003F7990">
      <w:pPr>
        <w:pStyle w:val="ConsPlusTitle"/>
        <w:jc w:val="center"/>
      </w:pPr>
      <w:r>
        <w:t>О ВНЕСЕНИИ ИЗМЕНЕНИЙ В ПРИЛОЖЕНИЕ 2 К ПОСТАНОВЛЕНИЮ</w:t>
      </w:r>
    </w:p>
    <w:p w:rsidR="003F7990" w:rsidRDefault="003F7990">
      <w:pPr>
        <w:pStyle w:val="ConsPlusTitle"/>
        <w:jc w:val="center"/>
      </w:pPr>
      <w:r>
        <w:t>МИНИСТЕРСТВА ТАРИФНОГО РЕГУЛИРОВАНИЯ И ЭНЕРГЕТИКИ ПЕРМСКОГО</w:t>
      </w:r>
    </w:p>
    <w:p w:rsidR="003F7990" w:rsidRDefault="003F7990">
      <w:pPr>
        <w:pStyle w:val="ConsPlusTitle"/>
        <w:jc w:val="center"/>
      </w:pPr>
      <w:r>
        <w:t>КРАЯ ОТ 21.04.2021 N 3-Э "ОБ УСТАНОВЛЕНИИ ЕДИНЫХ (КОТЛОВЫХ)</w:t>
      </w:r>
    </w:p>
    <w:p w:rsidR="003F7990" w:rsidRDefault="003F7990">
      <w:pPr>
        <w:pStyle w:val="ConsPlusTitle"/>
        <w:jc w:val="center"/>
      </w:pPr>
      <w:r>
        <w:t>ТАРИФОВ НА УСЛУГИ ПО ПЕРЕДАЧЕ ЭЛЕКТРИЧЕСКОЙ ЭНЕРГИИ</w:t>
      </w:r>
    </w:p>
    <w:p w:rsidR="003F7990" w:rsidRDefault="003F7990">
      <w:pPr>
        <w:pStyle w:val="ConsPlusTitle"/>
        <w:jc w:val="center"/>
      </w:pPr>
      <w:r>
        <w:t>НА ТЕРРИТОРИИ ПЕРМСКОГО КРАЯ"</w:t>
      </w:r>
    </w:p>
    <w:p w:rsidR="003F7990" w:rsidRDefault="003F7990">
      <w:pPr>
        <w:pStyle w:val="ConsPlusNormal"/>
        <w:jc w:val="both"/>
      </w:pPr>
    </w:p>
    <w:p w:rsidR="003F7990" w:rsidRDefault="003F7990">
      <w:pPr>
        <w:pStyle w:val="ConsPlusNormal"/>
        <w:ind w:firstLine="540"/>
        <w:jc w:val="both"/>
      </w:pPr>
      <w:r>
        <w:t xml:space="preserve">В соответствии с Федеральным </w:t>
      </w:r>
      <w:hyperlink r:id="rId5" w:history="1">
        <w:r>
          <w:rPr>
            <w:color w:val="0000FF"/>
          </w:rPr>
          <w:t>законом</w:t>
        </w:r>
      </w:hyperlink>
      <w:r>
        <w:t xml:space="preserve"> от 26 марта 2003 г. N 35-ФЗ "Об электроэнергетике", </w:t>
      </w:r>
      <w:hyperlink r:id="rId6"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7" w:history="1">
        <w:r>
          <w:rPr>
            <w:color w:val="0000FF"/>
          </w:rPr>
          <w:t>приказом</w:t>
        </w:r>
      </w:hyperlink>
      <w:r>
        <w:t xml:space="preserve"> Федеральной службы по тарифам от 16 сентября 2014 г. N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w:t>
      </w:r>
      <w:hyperlink r:id="rId8" w:history="1">
        <w:r>
          <w:rPr>
            <w:color w:val="0000FF"/>
          </w:rPr>
          <w:t>приказом</w:t>
        </w:r>
      </w:hyperlink>
      <w:r>
        <w:t xml:space="preserve"> Федеральной антимонопольной службы от 19 июня 2018 г. N 834/18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w:t>
      </w:r>
      <w:hyperlink r:id="rId9" w:history="1">
        <w:r>
          <w:rPr>
            <w:color w:val="0000FF"/>
          </w:rPr>
          <w:t>приказом</w:t>
        </w:r>
      </w:hyperlink>
      <w:r>
        <w:t xml:space="preserve"> Федеральной антимонопольной службы от 26 ноября 2020 г. N 1162/20 "Об утверждении предельных минимальных и максимальных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2021 год", </w:t>
      </w:r>
      <w:hyperlink r:id="rId10" w:history="1">
        <w:r>
          <w:rPr>
            <w:color w:val="0000FF"/>
          </w:rPr>
          <w:t>приказом</w:t>
        </w:r>
      </w:hyperlink>
      <w:r>
        <w:t xml:space="preserve"> Федеральной антимонопольной службы от 29 декабря 2020 г. N 1296/20 "О согласовании решения Министерства тарифного регулирования и энергетики Пермского края об установлении единых (котловых) тарифов на услуги по передаче электрической энергии на территории Пермского края на уровне выше предельных максимальных уровней тарифов на услуги по передаче электрической энергии, утвержденных ФАС России на 2021 год", </w:t>
      </w:r>
      <w:hyperlink r:id="rId11" w:history="1">
        <w:r>
          <w:rPr>
            <w:color w:val="0000FF"/>
          </w:rPr>
          <w:t>постановлением</w:t>
        </w:r>
      </w:hyperlink>
      <w:r>
        <w:t xml:space="preserve"> Правительства Пермского края от 26 октября 2018 г. N 631-п "Об утверждении Положения о Министерстве тарифного регулирования и энергетики Пермского края", во исполнение решения Комиссии ФАС России от 31 мая 2021 г. N СП/43980/21 Министерство тарифного регулирования и энергетики Пермского края постановляет:</w:t>
      </w:r>
    </w:p>
    <w:p w:rsidR="003F7990" w:rsidRDefault="003F7990">
      <w:pPr>
        <w:pStyle w:val="ConsPlusNormal"/>
        <w:jc w:val="both"/>
      </w:pPr>
    </w:p>
    <w:p w:rsidR="003F7990" w:rsidRDefault="003F7990">
      <w:pPr>
        <w:pStyle w:val="ConsPlusNormal"/>
        <w:ind w:firstLine="540"/>
        <w:jc w:val="both"/>
      </w:pPr>
      <w:r>
        <w:t xml:space="preserve">1. Внести в </w:t>
      </w:r>
      <w:hyperlink r:id="rId12" w:history="1">
        <w:r>
          <w:rPr>
            <w:color w:val="0000FF"/>
          </w:rPr>
          <w:t>приложение 2</w:t>
        </w:r>
      </w:hyperlink>
      <w:r>
        <w:t xml:space="preserve"> к постановлению Министерства тарифного регулирования и энергетики Пермского края от 21 апреля 2021 г. N 3-э "Об установлении единых (котловых) тарифов на услуги по передаче электрической энергии на территории Пермского края" следующие изменения:</w:t>
      </w:r>
    </w:p>
    <w:p w:rsidR="003F7990" w:rsidRDefault="003F7990">
      <w:pPr>
        <w:pStyle w:val="ConsPlusNormal"/>
        <w:spacing w:before="220"/>
        <w:ind w:firstLine="540"/>
        <w:jc w:val="both"/>
      </w:pPr>
      <w:r>
        <w:t xml:space="preserve">1.1. </w:t>
      </w:r>
      <w:hyperlink r:id="rId13" w:history="1">
        <w:r>
          <w:rPr>
            <w:color w:val="0000FF"/>
          </w:rPr>
          <w:t>строку 1 таблицы 2</w:t>
        </w:r>
      </w:hyperlink>
      <w:r>
        <w:t xml:space="preserve"> изложить в следующей редакции:</w:t>
      </w:r>
    </w:p>
    <w:p w:rsidR="003F7990" w:rsidRDefault="003F7990">
      <w:pPr>
        <w:pStyle w:val="ConsPlusNormal"/>
        <w:jc w:val="both"/>
      </w:pPr>
    </w:p>
    <w:p w:rsidR="003F7990" w:rsidRDefault="003F7990">
      <w:pPr>
        <w:pStyle w:val="ConsPlusNormal"/>
      </w:pPr>
      <w:r>
        <w:t>"</w:t>
      </w:r>
    </w:p>
    <w:p w:rsidR="003F7990" w:rsidRDefault="003F799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1531"/>
        <w:gridCol w:w="1247"/>
        <w:gridCol w:w="1134"/>
      </w:tblGrid>
      <w:tr w:rsidR="003F7990">
        <w:tc>
          <w:tcPr>
            <w:tcW w:w="454" w:type="dxa"/>
            <w:tcBorders>
              <w:top w:val="single" w:sz="4" w:space="0" w:color="auto"/>
              <w:bottom w:val="single" w:sz="4" w:space="0" w:color="auto"/>
            </w:tcBorders>
            <w:vAlign w:val="center"/>
          </w:tcPr>
          <w:p w:rsidR="003F7990" w:rsidRDefault="003F7990">
            <w:pPr>
              <w:pStyle w:val="ConsPlusNormal"/>
              <w:jc w:val="both"/>
            </w:pPr>
            <w:r>
              <w:t>1</w:t>
            </w:r>
          </w:p>
        </w:tc>
        <w:tc>
          <w:tcPr>
            <w:tcW w:w="4706" w:type="dxa"/>
            <w:tcBorders>
              <w:top w:val="single" w:sz="4" w:space="0" w:color="auto"/>
              <w:bottom w:val="single" w:sz="4" w:space="0" w:color="auto"/>
            </w:tcBorders>
            <w:vAlign w:val="center"/>
          </w:tcPr>
          <w:p w:rsidR="003F7990" w:rsidRDefault="003F7990">
            <w:pPr>
              <w:pStyle w:val="ConsPlusNormal"/>
            </w:pPr>
            <w:r>
              <w:t>Филиал ОАО "МРСК Урала" - "Пермэнерго"</w:t>
            </w:r>
          </w:p>
        </w:tc>
        <w:tc>
          <w:tcPr>
            <w:tcW w:w="1531" w:type="dxa"/>
            <w:tcBorders>
              <w:top w:val="single" w:sz="4" w:space="0" w:color="auto"/>
              <w:bottom w:val="single" w:sz="4" w:space="0" w:color="auto"/>
            </w:tcBorders>
            <w:vAlign w:val="center"/>
          </w:tcPr>
          <w:p w:rsidR="003F7990" w:rsidRDefault="003F7990">
            <w:pPr>
              <w:pStyle w:val="ConsPlusNormal"/>
              <w:jc w:val="center"/>
            </w:pPr>
            <w:r>
              <w:t>13919141,46</w:t>
            </w:r>
          </w:p>
        </w:tc>
        <w:tc>
          <w:tcPr>
            <w:tcW w:w="1247" w:type="dxa"/>
            <w:tcBorders>
              <w:top w:val="single" w:sz="4" w:space="0" w:color="auto"/>
              <w:bottom w:val="single" w:sz="4" w:space="0" w:color="auto"/>
            </w:tcBorders>
            <w:vAlign w:val="center"/>
          </w:tcPr>
          <w:p w:rsidR="003F7990" w:rsidRDefault="003F7990">
            <w:pPr>
              <w:pStyle w:val="ConsPlusNormal"/>
              <w:jc w:val="center"/>
            </w:pPr>
            <w:r>
              <w:t>737169,00</w:t>
            </w:r>
          </w:p>
        </w:tc>
        <w:tc>
          <w:tcPr>
            <w:tcW w:w="1134" w:type="dxa"/>
            <w:tcBorders>
              <w:top w:val="single" w:sz="4" w:space="0" w:color="auto"/>
              <w:bottom w:val="single" w:sz="4" w:space="0" w:color="auto"/>
            </w:tcBorders>
            <w:vAlign w:val="center"/>
          </w:tcPr>
          <w:p w:rsidR="003F7990" w:rsidRDefault="003F7990">
            <w:pPr>
              <w:pStyle w:val="ConsPlusNormal"/>
              <w:jc w:val="center"/>
            </w:pPr>
            <w:r>
              <w:t>1897,555</w:t>
            </w:r>
          </w:p>
        </w:tc>
      </w:tr>
    </w:tbl>
    <w:p w:rsidR="003F7990" w:rsidRDefault="003F7990">
      <w:pPr>
        <w:pStyle w:val="ConsPlusNormal"/>
        <w:jc w:val="right"/>
      </w:pPr>
      <w:r>
        <w:t>";</w:t>
      </w:r>
    </w:p>
    <w:p w:rsidR="003F7990" w:rsidRDefault="003F7990">
      <w:pPr>
        <w:pStyle w:val="ConsPlusNormal"/>
        <w:jc w:val="both"/>
      </w:pPr>
    </w:p>
    <w:p w:rsidR="003F7990" w:rsidRDefault="003F7990">
      <w:pPr>
        <w:pStyle w:val="ConsPlusNormal"/>
        <w:ind w:firstLine="540"/>
        <w:jc w:val="both"/>
      </w:pPr>
      <w:r>
        <w:lastRenderedPageBreak/>
        <w:t xml:space="preserve">1.2. </w:t>
      </w:r>
      <w:hyperlink r:id="rId14" w:history="1">
        <w:r>
          <w:rPr>
            <w:color w:val="0000FF"/>
          </w:rPr>
          <w:t>строку 23 таблицы 2</w:t>
        </w:r>
      </w:hyperlink>
      <w:r>
        <w:t xml:space="preserve"> изложить в следующей редакции:</w:t>
      </w:r>
    </w:p>
    <w:p w:rsidR="003F7990" w:rsidRDefault="003F7990">
      <w:pPr>
        <w:pStyle w:val="ConsPlusNormal"/>
        <w:jc w:val="both"/>
      </w:pPr>
    </w:p>
    <w:p w:rsidR="003F7990" w:rsidRDefault="003F7990">
      <w:pPr>
        <w:pStyle w:val="ConsPlusNormal"/>
      </w:pPr>
      <w:r>
        <w:t>"</w:t>
      </w:r>
    </w:p>
    <w:p w:rsidR="003F7990" w:rsidRDefault="003F799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1531"/>
        <w:gridCol w:w="1247"/>
        <w:gridCol w:w="1134"/>
      </w:tblGrid>
      <w:tr w:rsidR="003F7990">
        <w:tc>
          <w:tcPr>
            <w:tcW w:w="454" w:type="dxa"/>
            <w:tcBorders>
              <w:top w:val="single" w:sz="4" w:space="0" w:color="auto"/>
              <w:bottom w:val="single" w:sz="4" w:space="0" w:color="auto"/>
            </w:tcBorders>
            <w:vAlign w:val="center"/>
          </w:tcPr>
          <w:p w:rsidR="003F7990" w:rsidRDefault="003F7990">
            <w:pPr>
              <w:pStyle w:val="ConsPlusNormal"/>
              <w:jc w:val="both"/>
            </w:pPr>
            <w:r>
              <w:t>23</w:t>
            </w:r>
          </w:p>
        </w:tc>
        <w:tc>
          <w:tcPr>
            <w:tcW w:w="4706" w:type="dxa"/>
            <w:tcBorders>
              <w:top w:val="single" w:sz="4" w:space="0" w:color="auto"/>
              <w:bottom w:val="single" w:sz="4" w:space="0" w:color="auto"/>
            </w:tcBorders>
            <w:vAlign w:val="center"/>
          </w:tcPr>
          <w:p w:rsidR="003F7990" w:rsidRDefault="003F7990">
            <w:pPr>
              <w:pStyle w:val="ConsPlusNormal"/>
            </w:pPr>
            <w:r>
              <w:t>ООО "Научно-производственная фирма "Парма Инжиниринг"</w:t>
            </w:r>
          </w:p>
        </w:tc>
        <w:tc>
          <w:tcPr>
            <w:tcW w:w="1531" w:type="dxa"/>
            <w:tcBorders>
              <w:top w:val="single" w:sz="4" w:space="0" w:color="auto"/>
              <w:bottom w:val="single" w:sz="4" w:space="0" w:color="auto"/>
            </w:tcBorders>
            <w:vAlign w:val="center"/>
          </w:tcPr>
          <w:p w:rsidR="003F7990" w:rsidRDefault="003F7990">
            <w:pPr>
              <w:pStyle w:val="ConsPlusNormal"/>
              <w:jc w:val="center"/>
            </w:pPr>
            <w:r>
              <w:t>25590,71</w:t>
            </w:r>
          </w:p>
        </w:tc>
        <w:tc>
          <w:tcPr>
            <w:tcW w:w="1247" w:type="dxa"/>
            <w:tcBorders>
              <w:top w:val="single" w:sz="4" w:space="0" w:color="auto"/>
              <w:bottom w:val="single" w:sz="4" w:space="0" w:color="auto"/>
            </w:tcBorders>
            <w:vAlign w:val="center"/>
          </w:tcPr>
          <w:p w:rsidR="003F7990" w:rsidRDefault="003F7990">
            <w:pPr>
              <w:pStyle w:val="ConsPlusNormal"/>
              <w:jc w:val="center"/>
            </w:pPr>
            <w:r>
              <w:t>6674,12</w:t>
            </w:r>
          </w:p>
        </w:tc>
        <w:tc>
          <w:tcPr>
            <w:tcW w:w="1134" w:type="dxa"/>
            <w:tcBorders>
              <w:top w:val="single" w:sz="4" w:space="0" w:color="auto"/>
              <w:bottom w:val="single" w:sz="4" w:space="0" w:color="auto"/>
            </w:tcBorders>
            <w:vAlign w:val="center"/>
          </w:tcPr>
          <w:p w:rsidR="003F7990" w:rsidRDefault="003F7990">
            <w:pPr>
              <w:pStyle w:val="ConsPlusNormal"/>
              <w:jc w:val="center"/>
            </w:pPr>
            <w:r>
              <w:t>2,304</w:t>
            </w:r>
          </w:p>
        </w:tc>
      </w:tr>
    </w:tbl>
    <w:p w:rsidR="003F7990" w:rsidRDefault="003F7990">
      <w:pPr>
        <w:pStyle w:val="ConsPlusNormal"/>
        <w:jc w:val="right"/>
      </w:pPr>
      <w:r>
        <w:t>".</w:t>
      </w:r>
    </w:p>
    <w:p w:rsidR="003F7990" w:rsidRDefault="003F7990">
      <w:pPr>
        <w:pStyle w:val="ConsPlusNormal"/>
        <w:jc w:val="both"/>
      </w:pPr>
    </w:p>
    <w:p w:rsidR="003F7990" w:rsidRDefault="003F7990">
      <w:pPr>
        <w:pStyle w:val="ConsPlusNormal"/>
        <w:ind w:firstLine="540"/>
        <w:jc w:val="both"/>
      </w:pPr>
      <w:r>
        <w:t>2. Настоящее постановление вступает в силу через 10 дней после дня его официального опубликования и распространяет свое действие на правоотношения, возникшие с 01 июля 2021 года.</w:t>
      </w:r>
    </w:p>
    <w:p w:rsidR="003F7990" w:rsidRDefault="003F7990">
      <w:pPr>
        <w:pStyle w:val="ConsPlusNormal"/>
        <w:jc w:val="both"/>
      </w:pPr>
    </w:p>
    <w:p w:rsidR="003F7990" w:rsidRDefault="003F7990">
      <w:pPr>
        <w:pStyle w:val="ConsPlusNormal"/>
        <w:jc w:val="right"/>
      </w:pPr>
      <w:r>
        <w:t>Министр</w:t>
      </w:r>
    </w:p>
    <w:p w:rsidR="003F7990" w:rsidRDefault="003F7990">
      <w:pPr>
        <w:pStyle w:val="ConsPlusNormal"/>
        <w:jc w:val="right"/>
      </w:pPr>
      <w:r>
        <w:t>А.А.БАЛАХНИН</w:t>
      </w:r>
    </w:p>
    <w:p w:rsidR="003F7990" w:rsidRDefault="003F7990">
      <w:pPr>
        <w:pStyle w:val="ConsPlusNormal"/>
        <w:jc w:val="both"/>
      </w:pPr>
    </w:p>
    <w:p w:rsidR="003F7990" w:rsidRDefault="003F7990">
      <w:pPr>
        <w:pStyle w:val="ConsPlusNormal"/>
        <w:jc w:val="both"/>
      </w:pPr>
    </w:p>
    <w:p w:rsidR="003F7990" w:rsidRDefault="003F7990">
      <w:pPr>
        <w:pStyle w:val="ConsPlusNormal"/>
        <w:pBdr>
          <w:top w:val="single" w:sz="6" w:space="0" w:color="auto"/>
        </w:pBdr>
        <w:spacing w:before="100" w:after="100"/>
        <w:jc w:val="both"/>
        <w:rPr>
          <w:sz w:val="2"/>
          <w:szCs w:val="2"/>
        </w:rPr>
      </w:pPr>
    </w:p>
    <w:p w:rsidR="00000655" w:rsidRDefault="00000655">
      <w:bookmarkStart w:id="0" w:name="_GoBack"/>
      <w:bookmarkEnd w:id="0"/>
    </w:p>
    <w:sectPr w:rsidR="00000655" w:rsidSect="00E90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90"/>
    <w:rsid w:val="00000655"/>
    <w:rsid w:val="003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880F5-64A8-40B7-9656-F04B5735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E652CAF066579C5A0268961FD10DE12E5747710AFACDBBBA1A55117E6903CAE697FE79t5s0I" TargetMode="External"/><Relationship Id="rId13" Type="http://schemas.openxmlformats.org/officeDocument/2006/relationships/hyperlink" Target="consultantplus://offline/ref=B9C9668EFFCB9E970C91F85FDC9C3B5C97545E659618D85ABC7351102E5AFC98E9FA440C533E7A02CDF897FE7D5AB345C51630C1820519D12BDFC4CCt0s9I" TargetMode="External"/><Relationship Id="rId3" Type="http://schemas.openxmlformats.org/officeDocument/2006/relationships/webSettings" Target="webSettings.xml"/><Relationship Id="rId7" Type="http://schemas.openxmlformats.org/officeDocument/2006/relationships/hyperlink" Target="consultantplus://offline/ref=B9C9668EFFCB9E970C91E652CAF066579C5D0968921BD10DE12E5747710AFACDBBBA1A55117E6903CAE697FE79t5s0I" TargetMode="External"/><Relationship Id="rId12" Type="http://schemas.openxmlformats.org/officeDocument/2006/relationships/hyperlink" Target="consultantplus://offline/ref=B9C9668EFFCB9E970C91F85FDC9C3B5C97545E659618D85ABC7351102E5AFC98E9FA440C533E7A02CDF894FD7F5AB345C51630C1820519D12BDFC4CCt0s9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C9668EFFCB9E970C91E652CAF066579C5808619214D10DE12E5747710AFACDBBBA1A55117E6903CAE697FE79t5s0I" TargetMode="External"/><Relationship Id="rId11" Type="http://schemas.openxmlformats.org/officeDocument/2006/relationships/hyperlink" Target="consultantplus://offline/ref=B9C9668EFFCB9E970C91F85FDC9C3B5C97545E659618D858B47951102E5AFC98E9FA440C413E220ECCFC8BFE7C4FE51483t4s2I" TargetMode="External"/><Relationship Id="rId5" Type="http://schemas.openxmlformats.org/officeDocument/2006/relationships/hyperlink" Target="consultantplus://offline/ref=B9C9668EFFCB9E970C91E652CAF066579C57076E9E1DD10DE12E5747710AFACDBBBA1A55117E6903CAE697FE79t5s0I" TargetMode="External"/><Relationship Id="rId15" Type="http://schemas.openxmlformats.org/officeDocument/2006/relationships/fontTable" Target="fontTable.xml"/><Relationship Id="rId10" Type="http://schemas.openxmlformats.org/officeDocument/2006/relationships/hyperlink" Target="consultantplus://offline/ref=B9C9668EFFCB9E970C91EF4BCDF066579859006E9F1CD10DE12E5747710AFACDBBBA1A55117E6903CAE697FE79t5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C9668EFFCB9E970C91E652CAF066579C57076C9F1DD10DE12E5747710AFACDBBBA1A55117E6903CAE697FE79t5s0I" TargetMode="External"/><Relationship Id="rId14" Type="http://schemas.openxmlformats.org/officeDocument/2006/relationships/hyperlink" Target="consultantplus://offline/ref=B9C9668EFFCB9E970C91F85FDC9C3B5C97545E659618D85ABC7351102E5AFC98E9FA440C533E7A02CDF896FF7D5AB345C51630C1820519D12BDFC4CCt0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Виктория Александровна</dc:creator>
  <cp:keywords/>
  <dc:description/>
  <cp:lastModifiedBy>Петрова Виктория Александровна</cp:lastModifiedBy>
  <cp:revision>1</cp:revision>
  <dcterms:created xsi:type="dcterms:W3CDTF">2021-07-14T08:44:00Z</dcterms:created>
  <dcterms:modified xsi:type="dcterms:W3CDTF">2021-07-14T08:45:00Z</dcterms:modified>
</cp:coreProperties>
</file>