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B" w:rsidRPr="008C18C8" w:rsidRDefault="004E6F9B" w:rsidP="004E6F9B">
      <w:pPr>
        <w:ind w:hanging="18"/>
        <w:jc w:val="center"/>
      </w:pPr>
      <w:r w:rsidRPr="008C18C8">
        <w:rPr>
          <w:sz w:val="24"/>
          <w:szCs w:val="24"/>
        </w:rPr>
        <w:object w:dxaOrig="7130" w:dyaOrig="13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65.65pt" o:ole="" o:bordertopcolor="this" o:borderleftcolor="this" o:borderbottomcolor="this" o:borderrightcolor="this">
            <v:imagedata r:id="rId11" o:title=""/>
          </v:shape>
          <o:OLEObject Type="Embed" ProgID="Unknown" ShapeID="_x0000_i1025" DrawAspect="Content" ObjectID="_1388235717" r:id="rId12"/>
        </w:object>
      </w:r>
    </w:p>
    <w:p w:rsidR="004E6F9B" w:rsidRPr="008C18C8" w:rsidRDefault="004E6F9B" w:rsidP="004E6F9B">
      <w:pPr>
        <w:jc w:val="center"/>
        <w:rPr>
          <w:rFonts w:ascii="NTHarmonica" w:hAnsi="NTHarmonica"/>
          <w:sz w:val="20"/>
        </w:rPr>
      </w:pPr>
    </w:p>
    <w:p w:rsidR="004E6F9B" w:rsidRPr="008C18C8" w:rsidRDefault="004E6F9B" w:rsidP="004E6F9B">
      <w:pPr>
        <w:jc w:val="center"/>
        <w:rPr>
          <w:b/>
        </w:rPr>
      </w:pPr>
      <w:r w:rsidRPr="008C18C8">
        <w:rPr>
          <w:b/>
        </w:rPr>
        <w:t>ДЕПАРТАМЕНТ</w:t>
      </w:r>
    </w:p>
    <w:p w:rsidR="004E6F9B" w:rsidRPr="008C18C8" w:rsidRDefault="004E6F9B" w:rsidP="004E6F9B">
      <w:pPr>
        <w:jc w:val="center"/>
        <w:rPr>
          <w:b/>
        </w:rPr>
      </w:pPr>
      <w:r w:rsidRPr="008C18C8">
        <w:rPr>
          <w:b/>
        </w:rPr>
        <w:t xml:space="preserve">ТОПЛИВА, ЭНЕРГЕТИКИ И РЕГУЛИРОВАНИЯ ТАРИФОВ </w:t>
      </w:r>
    </w:p>
    <w:p w:rsidR="004E6F9B" w:rsidRPr="008C18C8" w:rsidRDefault="004E6F9B" w:rsidP="004E6F9B">
      <w:pPr>
        <w:jc w:val="center"/>
        <w:rPr>
          <w:b/>
        </w:rPr>
      </w:pPr>
      <w:r w:rsidRPr="008C18C8">
        <w:rPr>
          <w:b/>
        </w:rPr>
        <w:t xml:space="preserve">ЯРОСЛАВСКОЙ ОБЛАСТИ </w:t>
      </w:r>
    </w:p>
    <w:p w:rsidR="004E6F9B" w:rsidRPr="008C18C8" w:rsidRDefault="004E6F9B" w:rsidP="004E6F9B">
      <w:pPr>
        <w:jc w:val="center"/>
        <w:rPr>
          <w:b/>
          <w:sz w:val="24"/>
          <w:szCs w:val="24"/>
        </w:rPr>
      </w:pPr>
    </w:p>
    <w:p w:rsidR="004E6F9B" w:rsidRPr="008C18C8" w:rsidRDefault="004E6F9B" w:rsidP="004E6F9B">
      <w:pPr>
        <w:jc w:val="center"/>
        <w:rPr>
          <w:spacing w:val="60"/>
          <w:sz w:val="32"/>
          <w:szCs w:val="32"/>
        </w:rPr>
      </w:pPr>
      <w:r w:rsidRPr="008C18C8">
        <w:rPr>
          <w:spacing w:val="60"/>
          <w:sz w:val="32"/>
          <w:szCs w:val="32"/>
        </w:rPr>
        <w:t>ПРИКАЗ</w:t>
      </w:r>
    </w:p>
    <w:p w:rsidR="004E6F9B" w:rsidRPr="008C18C8" w:rsidRDefault="004E6F9B" w:rsidP="004E6F9B">
      <w:pPr>
        <w:jc w:val="center"/>
        <w:rPr>
          <w:sz w:val="24"/>
          <w:szCs w:val="24"/>
        </w:rPr>
      </w:pPr>
    </w:p>
    <w:p w:rsidR="004E6F9B" w:rsidRPr="008C18C8" w:rsidRDefault="004E6F9B" w:rsidP="004E6F9B">
      <w:pPr>
        <w:jc w:val="center"/>
        <w:rPr>
          <w:sz w:val="24"/>
          <w:szCs w:val="24"/>
        </w:rPr>
      </w:pPr>
    </w:p>
    <w:p w:rsidR="004E6F9B" w:rsidRPr="008C18C8" w:rsidRDefault="004E6F9B" w:rsidP="004E6F9B">
      <w:pPr>
        <w:spacing w:line="228" w:lineRule="auto"/>
        <w:rPr>
          <w:sz w:val="24"/>
          <w:szCs w:val="24"/>
        </w:rPr>
      </w:pPr>
      <w:r w:rsidRPr="008C18C8">
        <w:rPr>
          <w:sz w:val="24"/>
          <w:szCs w:val="24"/>
        </w:rPr>
        <w:t xml:space="preserve">от  </w:t>
      </w:r>
      <w:r w:rsidR="0047059F">
        <w:rPr>
          <w:sz w:val="24"/>
          <w:szCs w:val="24"/>
        </w:rPr>
        <w:t xml:space="preserve">28.11.2010 </w:t>
      </w:r>
      <w:r w:rsidRPr="008C18C8">
        <w:rPr>
          <w:sz w:val="24"/>
          <w:szCs w:val="24"/>
        </w:rPr>
        <w:t xml:space="preserve"> № </w:t>
      </w:r>
      <w:r w:rsidR="00E00DC9">
        <w:rPr>
          <w:sz w:val="24"/>
          <w:szCs w:val="24"/>
        </w:rPr>
        <w:t>74</w:t>
      </w:r>
      <w:r w:rsidR="00E00DC9">
        <w:t>-э/э</w:t>
      </w:r>
    </w:p>
    <w:p w:rsidR="004E6F9B" w:rsidRPr="008C18C8" w:rsidRDefault="004E6F9B" w:rsidP="004E6F9B">
      <w:pPr>
        <w:spacing w:line="228" w:lineRule="auto"/>
        <w:rPr>
          <w:sz w:val="24"/>
          <w:szCs w:val="24"/>
        </w:rPr>
      </w:pPr>
      <w:r w:rsidRPr="008C18C8">
        <w:rPr>
          <w:sz w:val="24"/>
          <w:szCs w:val="24"/>
        </w:rPr>
        <w:t>г. Ярославль</w:t>
      </w:r>
    </w:p>
    <w:p w:rsidR="004E6F9B" w:rsidRDefault="004E6F9B" w:rsidP="004E6F9B">
      <w:pPr>
        <w:spacing w:line="228" w:lineRule="auto"/>
        <w:rPr>
          <w:sz w:val="24"/>
        </w:rPr>
      </w:pPr>
    </w:p>
    <w:p w:rsidR="00460C59" w:rsidRPr="008C18C8" w:rsidRDefault="00460C59" w:rsidP="004E6F9B">
      <w:pPr>
        <w:spacing w:line="228" w:lineRule="auto"/>
        <w:rPr>
          <w:sz w:val="24"/>
        </w:rPr>
      </w:pPr>
    </w:p>
    <w:tbl>
      <w:tblPr>
        <w:tblW w:w="0" w:type="auto"/>
        <w:tblLook w:val="04A0"/>
      </w:tblPr>
      <w:tblGrid>
        <w:gridCol w:w="4786"/>
      </w:tblGrid>
      <w:tr w:rsidR="004E6F9B" w:rsidRPr="00460C59" w:rsidTr="00460C59">
        <w:trPr>
          <w:trHeight w:val="1577"/>
        </w:trPr>
        <w:tc>
          <w:tcPr>
            <w:tcW w:w="4786" w:type="dxa"/>
          </w:tcPr>
          <w:p w:rsidR="004E6F9B" w:rsidRPr="00B87049" w:rsidRDefault="00460C59" w:rsidP="00460C5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4E6F9B"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 установлении цен (тарифов) </w:t>
            </w:r>
            <w:r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4E6F9B"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электрическую энергию для населения и </w:t>
            </w:r>
            <w:r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приравненным </w:t>
            </w:r>
            <w:r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нему категориям потребителей </w:t>
            </w:r>
            <w:r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4E6F9B" w:rsidRPr="00B870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Ярославской области на 2012 год</w:t>
            </w:r>
          </w:p>
        </w:tc>
      </w:tr>
    </w:tbl>
    <w:p w:rsidR="004E6F9B" w:rsidRDefault="004E6F9B" w:rsidP="004E6F9B">
      <w:pPr>
        <w:pStyle w:val="2"/>
        <w:spacing w:line="235" w:lineRule="auto"/>
      </w:pPr>
    </w:p>
    <w:p w:rsidR="00460C59" w:rsidRPr="008C18C8" w:rsidRDefault="00460C59" w:rsidP="004E6F9B">
      <w:pPr>
        <w:pStyle w:val="2"/>
        <w:spacing w:line="235" w:lineRule="auto"/>
      </w:pPr>
    </w:p>
    <w:p w:rsidR="004E6F9B" w:rsidRPr="00512A8D" w:rsidRDefault="00B87049" w:rsidP="004E6F9B">
      <w:pPr>
        <w:ind w:firstLine="709"/>
        <w:jc w:val="both"/>
        <w:rPr>
          <w:bCs/>
        </w:rPr>
      </w:pPr>
      <w:proofErr w:type="gramStart"/>
      <w:r w:rsidRPr="00B87049">
        <w:rPr>
          <w:bCs/>
        </w:rPr>
        <w:t xml:space="preserve">В соответствии с Федеральным законом от 26 марта 2003 года </w:t>
      </w:r>
      <w:hyperlink r:id="rId13" w:history="1">
        <w:r w:rsidRPr="00B87049">
          <w:rPr>
            <w:rStyle w:val="a3"/>
            <w:bCs/>
            <w:color w:val="auto"/>
            <w:u w:val="none"/>
          </w:rPr>
          <w:t>№ 35-ФЗ</w:t>
        </w:r>
      </w:hyperlink>
      <w:r w:rsidRPr="00B87049">
        <w:rPr>
          <w:bCs/>
        </w:rPr>
        <w:t xml:space="preserve"> «Об электроэнергетике», </w:t>
      </w:r>
      <w:hyperlink r:id="rId14" w:history="1">
        <w:r w:rsidRPr="00B87049">
          <w:rPr>
            <w:rStyle w:val="a3"/>
            <w:bCs/>
            <w:color w:val="auto"/>
            <w:u w:val="none"/>
          </w:rPr>
          <w:t>Постановлением</w:t>
        </w:r>
      </w:hyperlink>
      <w:r w:rsidRPr="00B87049">
        <w:rPr>
          <w:bCs/>
        </w:rPr>
        <w:t xml:space="preserve"> Правительства Российской Федерации от 26 февраля 2004 г. </w:t>
      </w:r>
      <w:r>
        <w:rPr>
          <w:bCs/>
        </w:rPr>
        <w:t>№ </w:t>
      </w:r>
      <w:r w:rsidRPr="00B87049">
        <w:rPr>
          <w:bCs/>
        </w:rPr>
        <w:t xml:space="preserve">109 «О ценообразовании в отношении электрической и тепловой энергии в Российской Федерации», приказами Федеральной службы по тарифам от 6 августа 2004 г. </w:t>
      </w:r>
      <w:hyperlink r:id="rId15" w:history="1">
        <w:r w:rsidRPr="00B87049">
          <w:rPr>
            <w:rStyle w:val="a3"/>
            <w:bCs/>
            <w:color w:val="auto"/>
            <w:u w:val="none"/>
          </w:rPr>
          <w:t>№</w:t>
        </w:r>
        <w:r>
          <w:rPr>
            <w:rStyle w:val="a3"/>
            <w:bCs/>
            <w:color w:val="auto"/>
            <w:u w:val="none"/>
          </w:rPr>
          <w:t> </w:t>
        </w:r>
        <w:r w:rsidRPr="00B87049">
          <w:rPr>
            <w:rStyle w:val="a3"/>
            <w:bCs/>
            <w:color w:val="auto"/>
            <w:u w:val="none"/>
          </w:rPr>
          <w:t>20-э/2</w:t>
        </w:r>
      </w:hyperlink>
      <w:r w:rsidRPr="00B87049">
        <w:rPr>
          <w:bCs/>
        </w:rPr>
        <w:t xml:space="preserve"> «Об утверждении методических указаний по расчету регулируемых тарифов </w:t>
      </w:r>
      <w:r>
        <w:rPr>
          <w:bCs/>
        </w:rPr>
        <w:br/>
      </w:r>
      <w:r w:rsidRPr="00B87049">
        <w:rPr>
          <w:bCs/>
        </w:rPr>
        <w:t>и цен на электрическую (тепловую) энергию</w:t>
      </w:r>
      <w:proofErr w:type="gramEnd"/>
      <w:r w:rsidRPr="00B87049">
        <w:rPr>
          <w:bCs/>
        </w:rPr>
        <w:t xml:space="preserve"> </w:t>
      </w:r>
      <w:proofErr w:type="gramStart"/>
      <w:r w:rsidRPr="00B87049">
        <w:rPr>
          <w:bCs/>
        </w:rPr>
        <w:t>на розничном (потребительском) рынке», от 8 апреля 2005</w:t>
      </w:r>
      <w:r>
        <w:rPr>
          <w:bCs/>
        </w:rPr>
        <w:t> </w:t>
      </w:r>
      <w:r w:rsidRPr="00B87049">
        <w:rPr>
          <w:bCs/>
        </w:rPr>
        <w:t xml:space="preserve">г. </w:t>
      </w:r>
      <w:hyperlink r:id="rId16" w:history="1">
        <w:r w:rsidRPr="00B87049">
          <w:rPr>
            <w:rStyle w:val="a3"/>
            <w:bCs/>
            <w:color w:val="auto"/>
            <w:u w:val="none"/>
          </w:rPr>
          <w:t>№</w:t>
        </w:r>
        <w:r>
          <w:rPr>
            <w:rStyle w:val="a3"/>
            <w:bCs/>
            <w:color w:val="auto"/>
            <w:u w:val="none"/>
          </w:rPr>
          <w:t> </w:t>
        </w:r>
        <w:r w:rsidRPr="00B87049">
          <w:rPr>
            <w:rStyle w:val="a3"/>
            <w:bCs/>
            <w:color w:val="auto"/>
            <w:u w:val="none"/>
          </w:rPr>
          <w:t>130-э</w:t>
        </w:r>
      </w:hyperlink>
      <w:r w:rsidRPr="00B87049">
        <w:rPr>
          <w:bCs/>
        </w:rPr>
        <w:t xml:space="preserve"> «Об утверждении Регламента рассмотрения дел об установлении тарифов и (или) их предельных уровней на электрическую (тепловую) энергию (мощность) </w:t>
      </w:r>
      <w:r>
        <w:rPr>
          <w:bCs/>
        </w:rPr>
        <w:br/>
      </w:r>
      <w:r w:rsidRPr="00B87049">
        <w:rPr>
          <w:bCs/>
        </w:rPr>
        <w:t>и на услуги, оказываемые на оптовом и розничных рынках электрической (тепловой) энергии (мощности)», от 6</w:t>
      </w:r>
      <w:r w:rsidR="00512A8D">
        <w:rPr>
          <w:bCs/>
        </w:rPr>
        <w:t> </w:t>
      </w:r>
      <w:r w:rsidRPr="00B87049">
        <w:rPr>
          <w:bCs/>
        </w:rPr>
        <w:t>октября 2011</w:t>
      </w:r>
      <w:r>
        <w:rPr>
          <w:bCs/>
        </w:rPr>
        <w:t> </w:t>
      </w:r>
      <w:r w:rsidRPr="00B87049">
        <w:rPr>
          <w:bCs/>
        </w:rPr>
        <w:t xml:space="preserve">г. </w:t>
      </w:r>
      <w:hyperlink r:id="rId17" w:history="1">
        <w:r w:rsidRPr="00B87049">
          <w:rPr>
            <w:rStyle w:val="a3"/>
            <w:bCs/>
            <w:color w:val="auto"/>
            <w:u w:val="none"/>
          </w:rPr>
          <w:t>№</w:t>
        </w:r>
      </w:hyperlink>
      <w:r>
        <w:rPr>
          <w:bCs/>
        </w:rPr>
        <w:t> </w:t>
      </w:r>
      <w:r w:rsidRPr="00B87049">
        <w:rPr>
          <w:bCs/>
        </w:rPr>
        <w:t xml:space="preserve">240-э/5 </w:t>
      </w:r>
      <w:r>
        <w:rPr>
          <w:bCs/>
        </w:rPr>
        <w:br/>
      </w:r>
      <w:r w:rsidRPr="00B87049">
        <w:rPr>
          <w:bCs/>
        </w:rPr>
        <w:t>«О предельных уровнях тарифов на электрическую энергию, поставляемую населению и приравненным к</w:t>
      </w:r>
      <w:proofErr w:type="gramEnd"/>
      <w:r w:rsidRPr="00B87049">
        <w:rPr>
          <w:bCs/>
        </w:rPr>
        <w:t xml:space="preserve"> нему категориям потребителей, на 2012 год», от 31</w:t>
      </w:r>
      <w:r>
        <w:rPr>
          <w:bCs/>
        </w:rPr>
        <w:t> </w:t>
      </w:r>
      <w:r w:rsidRPr="00B87049">
        <w:rPr>
          <w:bCs/>
        </w:rPr>
        <w:t>декабря 2010</w:t>
      </w:r>
      <w:r>
        <w:rPr>
          <w:bCs/>
        </w:rPr>
        <w:t> </w:t>
      </w:r>
      <w:r w:rsidRPr="00B87049">
        <w:rPr>
          <w:bCs/>
        </w:rPr>
        <w:t xml:space="preserve">г. № 655-э «Об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(тарифам)», </w:t>
      </w:r>
      <w:hyperlink r:id="rId18" w:history="1">
        <w:r w:rsidRPr="00B87049">
          <w:rPr>
            <w:rStyle w:val="a3"/>
            <w:bCs/>
            <w:color w:val="auto"/>
            <w:u w:val="none"/>
          </w:rPr>
          <w:t>Положением</w:t>
        </w:r>
      </w:hyperlink>
      <w:r w:rsidRPr="00B87049">
        <w:rPr>
          <w:bCs/>
        </w:rPr>
        <w:t xml:space="preserve"> </w:t>
      </w:r>
      <w:r>
        <w:rPr>
          <w:bCs/>
        </w:rPr>
        <w:br/>
      </w:r>
      <w:r w:rsidRPr="00B87049">
        <w:rPr>
          <w:bCs/>
        </w:rPr>
        <w:t xml:space="preserve">о </w:t>
      </w:r>
      <w:r>
        <w:rPr>
          <w:bCs/>
        </w:rPr>
        <w:t>д</w:t>
      </w:r>
      <w:r w:rsidRPr="00B87049">
        <w:rPr>
          <w:bCs/>
        </w:rPr>
        <w:t xml:space="preserve">епартаменте топлива, энергетики и регулирования тарифов Ярославской области, утвержденным постановлением Администрации области </w:t>
      </w:r>
      <w:r>
        <w:rPr>
          <w:bCs/>
        </w:rPr>
        <w:br/>
      </w:r>
      <w:r w:rsidRPr="00B87049">
        <w:rPr>
          <w:bCs/>
        </w:rPr>
        <w:t xml:space="preserve">от 25.08.2004 </w:t>
      </w:r>
      <w:r>
        <w:rPr>
          <w:bCs/>
        </w:rPr>
        <w:t>№ </w:t>
      </w:r>
      <w:r w:rsidRPr="00B87049">
        <w:rPr>
          <w:bCs/>
        </w:rPr>
        <w:t xml:space="preserve">141 «Об органе исполнительной власти Ярославской области в сфере государственного регулирования цен (тарифов) и </w:t>
      </w:r>
      <w:proofErr w:type="gramStart"/>
      <w:r w:rsidRPr="00B87049">
        <w:rPr>
          <w:bCs/>
        </w:rPr>
        <w:t xml:space="preserve">контроля </w:t>
      </w:r>
      <w:r>
        <w:rPr>
          <w:bCs/>
        </w:rPr>
        <w:br/>
      </w:r>
      <w:r w:rsidRPr="00512A8D">
        <w:rPr>
          <w:bCs/>
        </w:rPr>
        <w:t>за</w:t>
      </w:r>
      <w:proofErr w:type="gramEnd"/>
      <w:r w:rsidRPr="00512A8D">
        <w:rPr>
          <w:bCs/>
        </w:rPr>
        <w:t xml:space="preserve"> ценообразованием», на основании решения правления департамента топлива, энергетики и регулирования тарифов Ярославской области</w:t>
      </w:r>
    </w:p>
    <w:p w:rsidR="004E6F9B" w:rsidRPr="008C18C8" w:rsidRDefault="004E6F9B" w:rsidP="004E6F9B">
      <w:pPr>
        <w:pStyle w:val="2"/>
        <w:spacing w:line="235" w:lineRule="auto"/>
      </w:pPr>
      <w:r w:rsidRPr="008C18C8">
        <w:t>ДЕПАРТАМЕНТ ТОПЛИВА, ЭНЕРГЕТИКИ И РЕГУЛИРОВАНИЯ ТАРИФОВ ЯРОСЛАВСКОЙ ОБЛАСТИ ПРИКАЗЫВАЕТ:</w:t>
      </w:r>
    </w:p>
    <w:p w:rsidR="00136CA5" w:rsidRPr="00136CA5" w:rsidRDefault="00136CA5" w:rsidP="00136CA5">
      <w:pPr>
        <w:spacing w:line="228" w:lineRule="auto"/>
        <w:jc w:val="center"/>
        <w:rPr>
          <w:sz w:val="24"/>
          <w:szCs w:val="24"/>
        </w:rPr>
      </w:pPr>
    </w:p>
    <w:p w:rsidR="00136CA5" w:rsidRPr="00136CA5" w:rsidRDefault="00136CA5" w:rsidP="00136CA5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36CA5" w:rsidRPr="00136CA5" w:rsidRDefault="00136CA5" w:rsidP="00136CA5">
      <w:pPr>
        <w:spacing w:line="228" w:lineRule="auto"/>
        <w:jc w:val="center"/>
        <w:rPr>
          <w:sz w:val="24"/>
          <w:szCs w:val="24"/>
        </w:rPr>
      </w:pPr>
    </w:p>
    <w:p w:rsidR="00136CA5" w:rsidRDefault="00136CA5" w:rsidP="004E6F9B">
      <w:pPr>
        <w:spacing w:line="228" w:lineRule="auto"/>
        <w:ind w:firstLine="709"/>
        <w:jc w:val="both"/>
      </w:pPr>
      <w:r>
        <w:t xml:space="preserve">1. Установить </w:t>
      </w:r>
      <w:r w:rsidRPr="00B87049">
        <w:rPr>
          <w:rFonts w:eastAsia="Calibri"/>
        </w:rPr>
        <w:t>цен</w:t>
      </w:r>
      <w:r>
        <w:rPr>
          <w:rFonts w:eastAsia="Calibri"/>
        </w:rPr>
        <w:t>ы</w:t>
      </w:r>
      <w:r w:rsidRPr="00B87049">
        <w:rPr>
          <w:rFonts w:eastAsia="Calibri"/>
        </w:rPr>
        <w:t xml:space="preserve"> (тариф</w:t>
      </w:r>
      <w:r>
        <w:rPr>
          <w:rFonts w:eastAsia="Calibri"/>
        </w:rPr>
        <w:t>ы</w:t>
      </w:r>
      <w:r w:rsidRPr="00B87049">
        <w:rPr>
          <w:rFonts w:eastAsia="Calibri"/>
        </w:rPr>
        <w:t xml:space="preserve">) на электрическую энергию для населения и приравненным к нему категориям потребителей по Ярославской области </w:t>
      </w:r>
      <w:r>
        <w:rPr>
          <w:rFonts w:eastAsia="Calibri"/>
        </w:rPr>
        <w:br/>
      </w:r>
      <w:r w:rsidRPr="00B87049">
        <w:rPr>
          <w:rFonts w:eastAsia="Calibri"/>
        </w:rPr>
        <w:t>на 2012 год</w:t>
      </w:r>
      <w:r>
        <w:rPr>
          <w:rFonts w:eastAsia="Calibri"/>
        </w:rPr>
        <w:t xml:space="preserve"> со следующей календарной разбивкой</w:t>
      </w:r>
      <w:r w:rsidR="00886FD6">
        <w:rPr>
          <w:rFonts w:eastAsia="Calibri"/>
        </w:rPr>
        <w:t>:</w:t>
      </w:r>
    </w:p>
    <w:p w:rsidR="00136CA5" w:rsidRPr="0062122D" w:rsidRDefault="00886FD6" w:rsidP="004E6F9B">
      <w:pPr>
        <w:spacing w:line="228" w:lineRule="auto"/>
        <w:ind w:firstLine="709"/>
        <w:jc w:val="both"/>
      </w:pPr>
      <w:r w:rsidRPr="0062122D">
        <w:t xml:space="preserve">- с 01 января </w:t>
      </w:r>
      <w:r w:rsidR="00A24A6F" w:rsidRPr="0062122D">
        <w:t xml:space="preserve">2012 года </w:t>
      </w:r>
      <w:r w:rsidRPr="0062122D">
        <w:t xml:space="preserve">по 30 июня </w:t>
      </w:r>
      <w:r w:rsidR="00A24A6F" w:rsidRPr="0062122D">
        <w:t xml:space="preserve">2012 года </w:t>
      </w:r>
      <w:r w:rsidRPr="0062122D">
        <w:t>согласно приложению 1;</w:t>
      </w:r>
    </w:p>
    <w:p w:rsidR="00136CA5" w:rsidRPr="0062122D" w:rsidRDefault="00886FD6" w:rsidP="004E6F9B">
      <w:pPr>
        <w:spacing w:line="228" w:lineRule="auto"/>
        <w:ind w:firstLine="709"/>
        <w:jc w:val="both"/>
      </w:pPr>
      <w:r w:rsidRPr="0062122D">
        <w:t xml:space="preserve">- с 01 июля </w:t>
      </w:r>
      <w:r w:rsidR="00A24A6F" w:rsidRPr="0062122D">
        <w:t xml:space="preserve">2012 года </w:t>
      </w:r>
      <w:r w:rsidRPr="0062122D">
        <w:t xml:space="preserve">по 31 декабря </w:t>
      </w:r>
      <w:r w:rsidR="00A24A6F" w:rsidRPr="0062122D">
        <w:t xml:space="preserve">2012 года </w:t>
      </w:r>
      <w:r w:rsidRPr="0062122D">
        <w:t>согласно приложению 2.</w:t>
      </w:r>
    </w:p>
    <w:p w:rsidR="00886FD6" w:rsidRPr="0062122D" w:rsidRDefault="00886FD6" w:rsidP="004E6F9B">
      <w:pPr>
        <w:spacing w:line="228" w:lineRule="auto"/>
        <w:ind w:firstLine="709"/>
        <w:jc w:val="both"/>
      </w:pPr>
      <w:r w:rsidRPr="0062122D">
        <w:t>2. </w:t>
      </w:r>
      <w:r w:rsidR="00D25897" w:rsidRPr="0062122D">
        <w:t>Ц</w:t>
      </w:r>
      <w:r w:rsidR="00D25897" w:rsidRPr="0062122D">
        <w:rPr>
          <w:rFonts w:eastAsia="Calibri"/>
        </w:rPr>
        <w:t xml:space="preserve">ены (тарифы), установленные пунктом 1, </w:t>
      </w:r>
      <w:r w:rsidR="00D25897" w:rsidRPr="0062122D">
        <w:t xml:space="preserve">применяются </w:t>
      </w:r>
      <w:proofErr w:type="gramStart"/>
      <w:r w:rsidR="00D25897" w:rsidRPr="0062122D">
        <w:t>с дат</w:t>
      </w:r>
      <w:r w:rsidR="0062122D" w:rsidRPr="0062122D">
        <w:t>ы</w:t>
      </w:r>
      <w:r w:rsidR="00D25897" w:rsidRPr="0062122D">
        <w:t xml:space="preserve"> начала</w:t>
      </w:r>
      <w:proofErr w:type="gramEnd"/>
      <w:r w:rsidR="00D25897" w:rsidRPr="0062122D">
        <w:t xml:space="preserve"> соответствующего календарного периода и действуют </w:t>
      </w:r>
      <w:r w:rsidR="00A24A6F" w:rsidRPr="0062122D">
        <w:t>по</w:t>
      </w:r>
      <w:r w:rsidR="00D25897" w:rsidRPr="0062122D">
        <w:t xml:space="preserve"> дат</w:t>
      </w:r>
      <w:r w:rsidR="00A24A6F" w:rsidRPr="0062122D">
        <w:t>у</w:t>
      </w:r>
      <w:r w:rsidR="00D25897" w:rsidRPr="0062122D">
        <w:t xml:space="preserve"> окончания данного периода.</w:t>
      </w:r>
    </w:p>
    <w:p w:rsidR="00D25897" w:rsidRDefault="00D25897" w:rsidP="004E6F9B">
      <w:pPr>
        <w:spacing w:line="228" w:lineRule="auto"/>
        <w:ind w:firstLine="709"/>
        <w:jc w:val="both"/>
      </w:pPr>
      <w:r>
        <w:t>3</w:t>
      </w:r>
      <w:r w:rsidRPr="002B6850">
        <w:t>. </w:t>
      </w:r>
      <w:proofErr w:type="gramStart"/>
      <w:r w:rsidRPr="002B6850">
        <w:t xml:space="preserve">Признать утратившим силу </w:t>
      </w:r>
      <w:r w:rsidRPr="002B6850">
        <w:rPr>
          <w:bCs/>
        </w:rPr>
        <w:t>с 01.01.201</w:t>
      </w:r>
      <w:r>
        <w:rPr>
          <w:bCs/>
        </w:rPr>
        <w:t>2</w:t>
      </w:r>
      <w:r w:rsidRPr="002B6850">
        <w:rPr>
          <w:bCs/>
        </w:rPr>
        <w:t xml:space="preserve"> </w:t>
      </w:r>
      <w:r>
        <w:t>приказ</w:t>
      </w:r>
      <w:r w:rsidRPr="002B6850">
        <w:t xml:space="preserve"> департамента топлива, энергетики и регулирования тарифов Ярославской области</w:t>
      </w:r>
      <w:r>
        <w:t xml:space="preserve"> </w:t>
      </w:r>
      <w:r w:rsidRPr="008C18C8">
        <w:t>от 02.12.2010 № 203 «О введении в действие постановления правления департамента топлива, эне</w:t>
      </w:r>
      <w:r>
        <w:t>р</w:t>
      </w:r>
      <w:r w:rsidRPr="008C18C8">
        <w:t>гетики и регулирования тарифов Ярославской области от 17 ноября 2010 года №</w:t>
      </w:r>
      <w:r>
        <w:t> </w:t>
      </w:r>
      <w:r w:rsidRPr="008C18C8">
        <w:t xml:space="preserve">ППр-203-Э/Э «Об установлении цен (тарифов) на электрическую энергию для населения и потребителей, приравненных к категории </w:t>
      </w:r>
      <w:r w:rsidR="0062122D">
        <w:t>«</w:t>
      </w:r>
      <w:r w:rsidRPr="008C18C8">
        <w:t>население</w:t>
      </w:r>
      <w:r w:rsidR="0062122D">
        <w:t>»</w:t>
      </w:r>
      <w:r w:rsidRPr="008C18C8">
        <w:t>, по Ярославской области»</w:t>
      </w:r>
      <w:r>
        <w:t>.</w:t>
      </w:r>
      <w:proofErr w:type="gramEnd"/>
    </w:p>
    <w:p w:rsidR="004E6F9B" w:rsidRPr="008C18C8" w:rsidRDefault="00D25897" w:rsidP="004E6F9B">
      <w:pPr>
        <w:spacing w:line="228" w:lineRule="auto"/>
        <w:ind w:firstLine="709"/>
        <w:jc w:val="both"/>
      </w:pPr>
      <w:r>
        <w:rPr>
          <w:bCs/>
        </w:rPr>
        <w:t>4</w:t>
      </w:r>
      <w:r w:rsidR="004E6F9B" w:rsidRPr="008C18C8">
        <w:rPr>
          <w:bCs/>
        </w:rPr>
        <w:t>.</w:t>
      </w:r>
      <w:r w:rsidR="004E6F9B" w:rsidRPr="008C18C8">
        <w:rPr>
          <w:bCs/>
          <w:lang w:val="en-US"/>
        </w:rPr>
        <w:t> </w:t>
      </w:r>
      <w:r w:rsidR="004E6F9B" w:rsidRPr="008C18C8">
        <w:t>Приказ вступает в силу через 10 дней с момента его официального опубликования.</w:t>
      </w:r>
    </w:p>
    <w:p w:rsidR="004E6F9B" w:rsidRPr="008C18C8" w:rsidRDefault="004E6F9B" w:rsidP="004E6F9B">
      <w:pPr>
        <w:spacing w:line="228" w:lineRule="auto"/>
        <w:ind w:firstLine="709"/>
        <w:jc w:val="both"/>
      </w:pPr>
    </w:p>
    <w:p w:rsidR="004E6F9B" w:rsidRPr="008C18C8" w:rsidRDefault="004E6F9B" w:rsidP="004E6F9B">
      <w:pPr>
        <w:spacing w:line="228" w:lineRule="auto"/>
        <w:ind w:firstLine="709"/>
        <w:jc w:val="both"/>
      </w:pPr>
    </w:p>
    <w:p w:rsidR="00D25897" w:rsidRDefault="00D25897" w:rsidP="00D25897">
      <w:pPr>
        <w:spacing w:line="228" w:lineRule="auto"/>
        <w:ind w:firstLine="709"/>
        <w:jc w:val="both"/>
      </w:pPr>
    </w:p>
    <w:tbl>
      <w:tblPr>
        <w:tblW w:w="9464" w:type="dxa"/>
        <w:tblLook w:val="00A0"/>
      </w:tblPr>
      <w:tblGrid>
        <w:gridCol w:w="3652"/>
        <w:gridCol w:w="2126"/>
        <w:gridCol w:w="3686"/>
      </w:tblGrid>
      <w:tr w:rsidR="00D25897" w:rsidTr="000E42FC">
        <w:trPr>
          <w:trHeight w:val="400"/>
        </w:trPr>
        <w:tc>
          <w:tcPr>
            <w:tcW w:w="3652" w:type="dxa"/>
            <w:hideMark/>
          </w:tcPr>
          <w:p w:rsidR="00D25897" w:rsidRDefault="00D25897" w:rsidP="000E42FC">
            <w:pPr>
              <w:spacing w:line="228" w:lineRule="auto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департамента </w:t>
            </w:r>
          </w:p>
        </w:tc>
        <w:tc>
          <w:tcPr>
            <w:tcW w:w="2126" w:type="dxa"/>
          </w:tcPr>
          <w:p w:rsidR="00D25897" w:rsidRDefault="00D25897" w:rsidP="000E42FC">
            <w:pPr>
              <w:spacing w:line="228" w:lineRule="auto"/>
              <w:jc w:val="center"/>
            </w:pPr>
          </w:p>
        </w:tc>
        <w:tc>
          <w:tcPr>
            <w:tcW w:w="3686" w:type="dxa"/>
            <w:hideMark/>
          </w:tcPr>
          <w:p w:rsidR="00D25897" w:rsidRDefault="00D25897" w:rsidP="000E42FC">
            <w:pPr>
              <w:spacing w:line="228" w:lineRule="auto"/>
              <w:jc w:val="right"/>
            </w:pPr>
            <w:r>
              <w:br/>
              <w:t>А.И. Минькин</w:t>
            </w:r>
          </w:p>
        </w:tc>
      </w:tr>
    </w:tbl>
    <w:p w:rsidR="00D25897" w:rsidRDefault="00D25897" w:rsidP="004E6F9B">
      <w:pPr>
        <w:ind w:left="-567" w:firstLine="567"/>
      </w:pPr>
    </w:p>
    <w:p w:rsidR="00D800B8" w:rsidRDefault="00D800B8" w:rsidP="00D800B8">
      <w:pPr>
        <w:ind w:left="-567" w:firstLine="567"/>
      </w:pPr>
    </w:p>
    <w:p w:rsidR="00D800B8" w:rsidRDefault="00D800B8" w:rsidP="00D800B8">
      <w:pPr>
        <w:ind w:left="-567" w:firstLine="567"/>
        <w:sectPr w:rsidR="00D800B8" w:rsidSect="00136CA5">
          <w:pgSz w:w="11906" w:h="16838" w:code="9"/>
          <w:pgMar w:top="567" w:right="567" w:bottom="1021" w:left="1985" w:header="709" w:footer="709" w:gutter="0"/>
          <w:cols w:space="708"/>
          <w:titlePg/>
          <w:docGrid w:linePitch="360"/>
        </w:sectPr>
      </w:pPr>
    </w:p>
    <w:p w:rsidR="00D800B8" w:rsidRDefault="00D800B8" w:rsidP="004E6F9B">
      <w:pPr>
        <w:ind w:left="-567" w:firstLine="567"/>
      </w:pPr>
    </w:p>
    <w:tbl>
      <w:tblPr>
        <w:tblW w:w="4217" w:type="dxa"/>
        <w:jc w:val="right"/>
        <w:tblInd w:w="4073" w:type="dxa"/>
        <w:tblLook w:val="0000"/>
      </w:tblPr>
      <w:tblGrid>
        <w:gridCol w:w="4217"/>
      </w:tblGrid>
      <w:tr w:rsidR="00D25897" w:rsidRPr="006E6957" w:rsidTr="000E42FC">
        <w:trPr>
          <w:jc w:val="right"/>
        </w:trPr>
        <w:tc>
          <w:tcPr>
            <w:tcW w:w="4217" w:type="dxa"/>
          </w:tcPr>
          <w:p w:rsidR="00D25897" w:rsidRPr="00635AD6" w:rsidRDefault="00D25897" w:rsidP="00635AD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5A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1</w:t>
            </w:r>
          </w:p>
          <w:p w:rsidR="00D25897" w:rsidRPr="00635AD6" w:rsidRDefault="00D25897" w:rsidP="00635AD6">
            <w:r w:rsidRPr="00635AD6">
              <w:t xml:space="preserve">к приказу департамента топлива, энергетики и регулирования тарифов Ярославской области </w:t>
            </w:r>
          </w:p>
          <w:p w:rsidR="00D25897" w:rsidRPr="00635AD6" w:rsidRDefault="00D25897" w:rsidP="0047059F">
            <w:pPr>
              <w:ind w:right="-108"/>
            </w:pPr>
            <w:r w:rsidRPr="00635AD6">
              <w:t xml:space="preserve">от  </w:t>
            </w:r>
            <w:r w:rsidR="0047059F">
              <w:t>28.11.2011</w:t>
            </w:r>
            <w:r w:rsidRPr="00635AD6">
              <w:t xml:space="preserve"> № </w:t>
            </w:r>
            <w:r w:rsidR="00E00DC9">
              <w:t>74</w:t>
            </w:r>
            <w:r w:rsidRPr="00635AD6">
              <w:t>-э</w:t>
            </w:r>
            <w:r w:rsidR="00014507">
              <w:t>/э</w:t>
            </w:r>
          </w:p>
        </w:tc>
      </w:tr>
    </w:tbl>
    <w:p w:rsidR="00D25897" w:rsidRDefault="00D25897" w:rsidP="00D25897">
      <w:pPr>
        <w:jc w:val="center"/>
        <w:rPr>
          <w:sz w:val="27"/>
          <w:szCs w:val="27"/>
        </w:rPr>
      </w:pPr>
    </w:p>
    <w:p w:rsidR="00635AD6" w:rsidRDefault="00635AD6" w:rsidP="00635AD6">
      <w:pPr>
        <w:jc w:val="center"/>
        <w:rPr>
          <w:b/>
          <w:bCs/>
          <w:sz w:val="24"/>
          <w:szCs w:val="24"/>
        </w:rPr>
      </w:pPr>
    </w:p>
    <w:p w:rsidR="00635AD6" w:rsidRDefault="00635AD6" w:rsidP="00635AD6">
      <w:pPr>
        <w:jc w:val="center"/>
        <w:rPr>
          <w:b/>
          <w:bCs/>
        </w:rPr>
      </w:pPr>
      <w:r w:rsidRPr="00635AD6">
        <w:rPr>
          <w:b/>
          <w:bCs/>
        </w:rPr>
        <w:t>ЦЕНЫ (ТАРИФЫ)</w:t>
      </w:r>
      <w:r w:rsidRPr="00635AD6">
        <w:rPr>
          <w:b/>
          <w:bCs/>
        </w:rPr>
        <w:br/>
        <w:t xml:space="preserve">на электрическую энергию для населения </w:t>
      </w:r>
      <w:r>
        <w:rPr>
          <w:b/>
          <w:bCs/>
        </w:rPr>
        <w:br/>
      </w:r>
      <w:r w:rsidRPr="00635AD6">
        <w:rPr>
          <w:b/>
          <w:bCs/>
        </w:rPr>
        <w:t>и приравненным к нему категориям потребителей по Ярославской области</w:t>
      </w:r>
      <w:r>
        <w:rPr>
          <w:b/>
          <w:bCs/>
        </w:rPr>
        <w:t xml:space="preserve">, устанавливаемые </w:t>
      </w:r>
      <w:r w:rsidRPr="00635AD6">
        <w:rPr>
          <w:b/>
          <w:bCs/>
        </w:rPr>
        <w:t xml:space="preserve">с </w:t>
      </w:r>
      <w:r>
        <w:rPr>
          <w:b/>
          <w:bCs/>
        </w:rPr>
        <w:t>0</w:t>
      </w:r>
      <w:r w:rsidRPr="00635AD6">
        <w:rPr>
          <w:b/>
          <w:bCs/>
        </w:rPr>
        <w:t>1 января</w:t>
      </w:r>
      <w:r w:rsidR="00D97A38">
        <w:rPr>
          <w:b/>
          <w:bCs/>
        </w:rPr>
        <w:t xml:space="preserve"> 2012 года</w:t>
      </w:r>
      <w:r w:rsidRPr="00635AD6">
        <w:rPr>
          <w:b/>
          <w:bCs/>
        </w:rPr>
        <w:t xml:space="preserve"> </w:t>
      </w:r>
      <w:r>
        <w:rPr>
          <w:b/>
          <w:bCs/>
        </w:rPr>
        <w:t xml:space="preserve">по 30 июня </w:t>
      </w:r>
      <w:r w:rsidRPr="00635AD6">
        <w:rPr>
          <w:b/>
          <w:bCs/>
        </w:rPr>
        <w:t>2012 г</w:t>
      </w:r>
      <w:r>
        <w:rPr>
          <w:b/>
          <w:bCs/>
        </w:rPr>
        <w:t>ода</w:t>
      </w:r>
    </w:p>
    <w:p w:rsidR="00635AD6" w:rsidRPr="003E1849" w:rsidRDefault="00635AD6" w:rsidP="00635AD6">
      <w:pPr>
        <w:jc w:val="center"/>
      </w:pPr>
    </w:p>
    <w:tbl>
      <w:tblPr>
        <w:tblW w:w="4945" w:type="pct"/>
        <w:tblLayout w:type="fixed"/>
        <w:tblLook w:val="04A0"/>
      </w:tblPr>
      <w:tblGrid>
        <w:gridCol w:w="958"/>
        <w:gridCol w:w="4963"/>
        <w:gridCol w:w="1702"/>
        <w:gridCol w:w="1842"/>
      </w:tblGrid>
      <w:tr w:rsidR="0016407B" w:rsidRPr="003E1849" w:rsidTr="00014507">
        <w:trPr>
          <w:trHeight w:val="54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D800B8" w:rsidP="00D800B8">
            <w:pPr>
              <w:jc w:val="center"/>
            </w:pPr>
            <w:r w:rsidRPr="003E1849">
              <w:t>№</w:t>
            </w:r>
            <w:r w:rsidRPr="003E1849">
              <w:br/>
            </w:r>
            <w:proofErr w:type="gramStart"/>
            <w:r w:rsidR="00467D18" w:rsidRPr="003E1849">
              <w:t>п</w:t>
            </w:r>
            <w:proofErr w:type="gramEnd"/>
            <w:r w:rsidR="00467D18" w:rsidRPr="003E1849">
              <w:t>/п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 xml:space="preserve">Показатель (группы потребителей </w:t>
            </w:r>
            <w:r w:rsidR="00D800B8" w:rsidRPr="003E1849">
              <w:br/>
            </w:r>
            <w:r w:rsidRPr="003E1849">
              <w:t>с разбивкой по ставкам и дифференциацией по зонам суток)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Единица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014507" w:rsidP="00D800B8">
            <w:pPr>
              <w:jc w:val="center"/>
            </w:pPr>
            <w:r w:rsidRPr="003E1849">
              <w:t>Цена</w:t>
            </w:r>
            <w:r w:rsidRPr="003E1849">
              <w:br/>
            </w:r>
            <w:r w:rsidR="00467D18" w:rsidRPr="003E1849">
              <w:t>(тариф)</w:t>
            </w:r>
          </w:p>
        </w:tc>
      </w:tr>
      <w:tr w:rsidR="0016407B" w:rsidRPr="003E1849" w:rsidTr="00014507">
        <w:trPr>
          <w:trHeight w:val="12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4</w:t>
            </w:r>
          </w:p>
        </w:tc>
      </w:tr>
      <w:tr w:rsidR="00467D18" w:rsidRPr="003E1849" w:rsidTr="00014507">
        <w:trPr>
          <w:trHeight w:val="25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1</w:t>
            </w:r>
            <w:r w:rsidR="00B92277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14507">
            <w:pPr>
              <w:jc w:val="center"/>
              <w:rPr>
                <w:bCs/>
              </w:rPr>
            </w:pPr>
            <w:r w:rsidRPr="003E1849">
              <w:rPr>
                <w:bCs/>
              </w:rPr>
              <w:t>Население (тариф с учетом НДС)</w:t>
            </w:r>
          </w:p>
        </w:tc>
      </w:tr>
      <w:tr w:rsidR="00467D18" w:rsidRPr="003E1849" w:rsidTr="00014507">
        <w:trPr>
          <w:trHeight w:val="2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1.1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AB5839" w:rsidP="00AB5839">
            <w:pPr>
              <w:rPr>
                <w:bCs/>
              </w:rPr>
            </w:pPr>
            <w:r w:rsidRPr="003E1849">
              <w:rPr>
                <w:bCs/>
              </w:rPr>
              <w:t>Население</w:t>
            </w:r>
            <w:r w:rsidR="00467D18" w:rsidRPr="003E1849">
              <w:rPr>
                <w:bCs/>
              </w:rPr>
              <w:t xml:space="preserve"> </w:t>
            </w:r>
            <w:r w:rsidRPr="003E1849">
              <w:rPr>
                <w:bCs/>
              </w:rPr>
              <w:t>(</w:t>
            </w:r>
            <w:r w:rsidR="00467D18" w:rsidRPr="003E1849">
              <w:rPr>
                <w:bCs/>
              </w:rPr>
              <w:t xml:space="preserve">за исключением </w:t>
            </w:r>
            <w:proofErr w:type="gramStart"/>
            <w:r w:rsidR="00467D18" w:rsidRPr="003E1849">
              <w:rPr>
                <w:bCs/>
              </w:rPr>
              <w:t>указанного</w:t>
            </w:r>
            <w:proofErr w:type="gramEnd"/>
            <w:r w:rsidR="00467D18" w:rsidRPr="003E1849">
              <w:rPr>
                <w:bCs/>
              </w:rPr>
              <w:t xml:space="preserve"> в пунктах 1.2 и 1.3</w:t>
            </w:r>
            <w:r w:rsidRPr="003E1849">
              <w:rPr>
                <w:bCs/>
              </w:rPr>
              <w:t>)</w:t>
            </w:r>
          </w:p>
        </w:tc>
      </w:tr>
      <w:tr w:rsidR="0016407B" w:rsidRPr="003E1849" w:rsidTr="00014507">
        <w:trPr>
          <w:trHeight w:val="181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1.1.1</w:t>
            </w:r>
            <w:r w:rsidR="00D800B8" w:rsidRPr="003E1849">
              <w:t>.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Одноставочный тариф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2,45</w:t>
            </w:r>
          </w:p>
        </w:tc>
      </w:tr>
      <w:tr w:rsidR="00467D18" w:rsidRPr="003E1849" w:rsidTr="00014507">
        <w:trPr>
          <w:trHeight w:val="216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1.1.2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16407B" w:rsidRPr="003E1849" w:rsidTr="00014507">
        <w:trPr>
          <w:trHeight w:val="236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3,00</w:t>
            </w:r>
          </w:p>
        </w:tc>
      </w:tr>
      <w:tr w:rsidR="0016407B" w:rsidRPr="003E1849" w:rsidTr="00014507">
        <w:trPr>
          <w:trHeight w:val="28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1,35</w:t>
            </w:r>
          </w:p>
        </w:tc>
      </w:tr>
      <w:tr w:rsidR="00467D18" w:rsidRPr="003E1849" w:rsidTr="00014507">
        <w:trPr>
          <w:trHeight w:val="19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D800B8">
            <w:pPr>
              <w:jc w:val="center"/>
            </w:pPr>
            <w:r w:rsidRPr="003E1849">
              <w:t>1.1.3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16407B" w:rsidRPr="003E1849" w:rsidTr="00014507">
        <w:trPr>
          <w:trHeight w:val="25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4,02</w:t>
            </w:r>
          </w:p>
        </w:tc>
      </w:tr>
      <w:tr w:rsidR="0016407B" w:rsidRPr="003E1849" w:rsidTr="00014507">
        <w:trPr>
          <w:trHeight w:val="299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Полупиковая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2,45</w:t>
            </w:r>
          </w:p>
        </w:tc>
      </w:tr>
      <w:tr w:rsidR="0016407B" w:rsidRPr="003E1849" w:rsidTr="00014507">
        <w:trPr>
          <w:trHeight w:val="19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1,35</w:t>
            </w:r>
          </w:p>
        </w:tc>
      </w:tr>
      <w:tr w:rsidR="00467D18" w:rsidRPr="003E1849" w:rsidTr="00014507">
        <w:trPr>
          <w:trHeight w:val="8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AB5839">
            <w:pPr>
              <w:rPr>
                <w:bCs/>
              </w:rPr>
            </w:pPr>
            <w:r w:rsidRPr="003E1849">
              <w:rPr>
                <w:bCs/>
              </w:rPr>
              <w:t>Население, проживающее в городских населенных пунктах</w:t>
            </w:r>
            <w:r w:rsidR="00582EA7" w:rsidRPr="003E1849">
              <w:rPr>
                <w:bCs/>
              </w:rPr>
              <w:br/>
            </w:r>
            <w:r w:rsidRPr="003E1849">
              <w:rPr>
                <w:bCs/>
              </w:rPr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6407B" w:rsidRPr="003E1849" w:rsidTr="00014507">
        <w:trPr>
          <w:trHeight w:val="22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2.1</w:t>
            </w:r>
            <w:r w:rsidR="00D800B8" w:rsidRPr="003E1849">
              <w:t>.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Одноставочный тариф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1,72</w:t>
            </w:r>
          </w:p>
        </w:tc>
      </w:tr>
      <w:tr w:rsidR="0016407B" w:rsidRPr="003E1849" w:rsidTr="00014507">
        <w:trPr>
          <w:trHeight w:val="272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E870E4" w:rsidP="00D800B8">
            <w:pPr>
              <w:jc w:val="center"/>
            </w:pPr>
            <w:r w:rsidRPr="003E1849">
              <w:t>1.</w:t>
            </w:r>
            <w:r w:rsidR="0016407B" w:rsidRPr="003E1849">
              <w:t>2.2.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16407B" w:rsidRPr="003E1849" w:rsidTr="00014507">
        <w:trPr>
          <w:trHeight w:val="30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2,11</w:t>
            </w:r>
          </w:p>
        </w:tc>
      </w:tr>
      <w:tr w:rsidR="0016407B" w:rsidRPr="003E1849" w:rsidTr="00014507">
        <w:trPr>
          <w:trHeight w:val="253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7B" w:rsidRPr="003E1849" w:rsidRDefault="0016407B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0,95</w:t>
            </w:r>
          </w:p>
        </w:tc>
      </w:tr>
      <w:tr w:rsidR="00467D18" w:rsidRPr="003E1849" w:rsidTr="00014507">
        <w:trPr>
          <w:trHeight w:val="302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2.3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16407B" w:rsidRPr="003E1849" w:rsidTr="00014507">
        <w:trPr>
          <w:trHeight w:val="29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2,82</w:t>
            </w:r>
          </w:p>
        </w:tc>
      </w:tr>
      <w:tr w:rsidR="0016407B" w:rsidRPr="003E1849" w:rsidTr="00014507">
        <w:trPr>
          <w:trHeight w:val="185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Полупиковая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1,72</w:t>
            </w:r>
          </w:p>
        </w:tc>
      </w:tr>
      <w:tr w:rsidR="0016407B" w:rsidRPr="003E1849" w:rsidTr="00014507">
        <w:trPr>
          <w:trHeight w:val="234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0,95</w:t>
            </w:r>
          </w:p>
        </w:tc>
      </w:tr>
      <w:tr w:rsidR="00467D18" w:rsidRPr="003E1849" w:rsidTr="00014507">
        <w:trPr>
          <w:trHeight w:val="26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3.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AB5839">
            <w:pPr>
              <w:rPr>
                <w:bCs/>
              </w:rPr>
            </w:pPr>
            <w:r w:rsidRPr="003E1849">
              <w:rPr>
                <w:bCs/>
              </w:rPr>
              <w:t>Население, проживающее в сельских населенных пунктах</w:t>
            </w:r>
          </w:p>
        </w:tc>
      </w:tr>
      <w:tr w:rsidR="0016407B" w:rsidRPr="003E1849" w:rsidTr="00014507">
        <w:trPr>
          <w:trHeight w:val="259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3.1</w:t>
            </w:r>
            <w:r w:rsidR="00D800B8" w:rsidRPr="003E1849">
              <w:t>.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Одноставочный тариф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1,72</w:t>
            </w:r>
          </w:p>
        </w:tc>
      </w:tr>
      <w:tr w:rsidR="00467D18" w:rsidRPr="003E1849" w:rsidTr="00014507">
        <w:trPr>
          <w:trHeight w:val="308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1.</w:t>
            </w:r>
            <w:r w:rsidR="00467D18" w:rsidRPr="003E1849">
              <w:t>3.2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16407B" w:rsidRPr="003E1849" w:rsidTr="00014507">
        <w:trPr>
          <w:trHeight w:val="25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2,11</w:t>
            </w:r>
          </w:p>
        </w:tc>
      </w:tr>
      <w:tr w:rsidR="0016407B" w:rsidRPr="003E1849" w:rsidTr="00014507">
        <w:trPr>
          <w:trHeight w:val="177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0,95</w:t>
            </w:r>
          </w:p>
        </w:tc>
      </w:tr>
      <w:tr w:rsidR="0016407B" w:rsidRPr="003E1849" w:rsidTr="00014507">
        <w:trPr>
          <w:trHeight w:val="21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E870E4" w:rsidP="000E42FC">
            <w:pPr>
              <w:jc w:val="center"/>
            </w:pPr>
            <w:r w:rsidRPr="003E1849">
              <w:t>1.</w:t>
            </w:r>
            <w:r w:rsidR="0016407B" w:rsidRPr="003E1849">
              <w:t>3.3.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D33E18">
            <w:pPr>
              <w:rPr>
                <w:bCs/>
              </w:rPr>
            </w:pPr>
            <w:r w:rsidRPr="003E1849">
              <w:rPr>
                <w:bCs/>
              </w:rPr>
              <w:t>Тариф</w:t>
            </w:r>
            <w:r w:rsidR="00D33E18">
              <w:rPr>
                <w:bCs/>
              </w:rPr>
              <w:t>,</w:t>
            </w:r>
            <w:r w:rsidRPr="003E1849">
              <w:rPr>
                <w:bCs/>
              </w:rPr>
              <w:t xml:space="preserve"> </w:t>
            </w:r>
            <w:proofErr w:type="gramStart"/>
            <w:r w:rsidRPr="003E1849">
              <w:rPr>
                <w:bCs/>
              </w:rPr>
              <w:t>дифференцированный</w:t>
            </w:r>
            <w:proofErr w:type="gramEnd"/>
            <w:r w:rsidRPr="003E1849">
              <w:rPr>
                <w:bCs/>
              </w:rPr>
              <w:t xml:space="preserve"> но трем зонам суток</w:t>
            </w:r>
          </w:p>
        </w:tc>
      </w:tr>
      <w:tr w:rsidR="0016407B" w:rsidRPr="003E1849" w:rsidTr="00014507">
        <w:trPr>
          <w:trHeight w:val="20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pPr>
              <w:jc w:val="center"/>
            </w:pP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3E1849" w:rsidRDefault="0016407B" w:rsidP="000E42FC">
            <w:pPr>
              <w:jc w:val="center"/>
            </w:pPr>
            <w:r w:rsidRPr="003E1849">
              <w:t>2,82</w:t>
            </w:r>
          </w:p>
        </w:tc>
      </w:tr>
      <w:tr w:rsidR="009D14E3" w:rsidRPr="003E1849" w:rsidTr="00014507">
        <w:trPr>
          <w:trHeight w:val="20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3" w:rsidRPr="003E1849" w:rsidRDefault="009D14E3" w:rsidP="000E42FC">
            <w:pPr>
              <w:jc w:val="center"/>
            </w:pP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3" w:rsidRPr="003E1849" w:rsidRDefault="009D14E3" w:rsidP="000E42FC">
            <w:r w:rsidRPr="003E1849">
              <w:t>Полупиковая зона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3" w:rsidRPr="003E1849" w:rsidRDefault="009D14E3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3" w:rsidRPr="003E1849" w:rsidRDefault="009D14E3" w:rsidP="000E42FC">
            <w:pPr>
              <w:jc w:val="center"/>
            </w:pPr>
            <w:r w:rsidRPr="003E1849">
              <w:t>1,72</w:t>
            </w:r>
          </w:p>
        </w:tc>
      </w:tr>
    </w:tbl>
    <w:p w:rsidR="00AB5839" w:rsidRPr="003E1849" w:rsidRDefault="00AB5839" w:rsidP="00AB5839">
      <w:pPr>
        <w:jc w:val="center"/>
        <w:rPr>
          <w:sz w:val="24"/>
          <w:szCs w:val="24"/>
        </w:rPr>
      </w:pPr>
    </w:p>
    <w:p w:rsidR="00AB5839" w:rsidRPr="003E1849" w:rsidRDefault="00AB5839" w:rsidP="00AB5839">
      <w:pPr>
        <w:jc w:val="center"/>
        <w:rPr>
          <w:sz w:val="24"/>
          <w:szCs w:val="24"/>
        </w:rPr>
      </w:pPr>
      <w:r w:rsidRPr="003E1849">
        <w:rPr>
          <w:sz w:val="24"/>
          <w:szCs w:val="24"/>
        </w:rPr>
        <w:t>2</w:t>
      </w:r>
    </w:p>
    <w:p w:rsidR="00AB5839" w:rsidRPr="003E1849" w:rsidRDefault="00AB5839" w:rsidP="00AB5839">
      <w:pPr>
        <w:jc w:val="center"/>
        <w:rPr>
          <w:sz w:val="24"/>
          <w:szCs w:val="24"/>
        </w:rPr>
      </w:pPr>
    </w:p>
    <w:tbl>
      <w:tblPr>
        <w:tblW w:w="4945" w:type="pct"/>
        <w:tblLayout w:type="fixed"/>
        <w:tblLook w:val="04A0"/>
      </w:tblPr>
      <w:tblGrid>
        <w:gridCol w:w="957"/>
        <w:gridCol w:w="4962"/>
        <w:gridCol w:w="1702"/>
        <w:gridCol w:w="1844"/>
      </w:tblGrid>
      <w:tr w:rsidR="00AB5839" w:rsidRPr="003E1849" w:rsidTr="00014507">
        <w:trPr>
          <w:trHeight w:val="20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9" w:rsidRPr="003E1849" w:rsidRDefault="00AB5839" w:rsidP="000E42FC">
            <w:pPr>
              <w:jc w:val="center"/>
            </w:pPr>
            <w:r w:rsidRPr="003E1849"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9" w:rsidRPr="003E1849" w:rsidRDefault="00AB5839" w:rsidP="000E42FC">
            <w:r w:rsidRPr="003E1849"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9" w:rsidRPr="003E1849" w:rsidRDefault="00AB5839" w:rsidP="000E42FC">
            <w:pPr>
              <w:jc w:val="center"/>
            </w:pPr>
            <w:r w:rsidRPr="003E1849"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9" w:rsidRPr="003E1849" w:rsidRDefault="00AB5839" w:rsidP="000E42FC">
            <w:pPr>
              <w:jc w:val="center"/>
            </w:pPr>
            <w:r w:rsidRPr="003E1849">
              <w:t>4</w:t>
            </w:r>
          </w:p>
        </w:tc>
      </w:tr>
      <w:tr w:rsidR="0016407B" w:rsidRPr="003E1849" w:rsidTr="00014507">
        <w:trPr>
          <w:trHeight w:val="2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0,95</w:t>
            </w:r>
          </w:p>
        </w:tc>
      </w:tr>
      <w:tr w:rsidR="00467D18" w:rsidRPr="003E1849" w:rsidTr="00014507">
        <w:trPr>
          <w:trHeight w:val="60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D18" w:rsidRPr="003E1849" w:rsidRDefault="00C07D73" w:rsidP="00EE4609">
            <w:pPr>
              <w:jc w:val="center"/>
            </w:pPr>
            <w:hyperlink r:id="rId19" w:anchor="RANGE!sub_161021" w:history="1">
              <w:r w:rsidR="00467D18" w:rsidRPr="003E1849">
                <w:t>Потребители, приравненные к н</w:t>
              </w:r>
              <w:r w:rsidR="00EE4609">
                <w:t>аселению</w:t>
              </w:r>
              <w:r w:rsidR="00467D18" w:rsidRPr="003E1849">
                <w:t xml:space="preserve"> </w:t>
              </w:r>
              <w:r w:rsidR="0016407B" w:rsidRPr="003E1849">
                <w:br/>
              </w:r>
              <w:r w:rsidR="00467D18" w:rsidRPr="003E1849">
                <w:t>(тариф с учетом НДС)</w:t>
              </w:r>
            </w:hyperlink>
          </w:p>
        </w:tc>
      </w:tr>
      <w:tr w:rsidR="00467D18" w:rsidRPr="003E1849" w:rsidTr="00014507">
        <w:trPr>
          <w:trHeight w:val="14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.1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EE4609">
            <w:r w:rsidRPr="003E1849">
              <w:t xml:space="preserve">Потребители, приравненные к </w:t>
            </w:r>
            <w:r w:rsidR="00EE4609">
              <w:t>населению</w:t>
            </w:r>
            <w:r w:rsidRPr="003E1849">
              <w:t xml:space="preserve"> в городских населенных пунктах</w:t>
            </w:r>
          </w:p>
        </w:tc>
      </w:tr>
      <w:tr w:rsidR="0016407B" w:rsidRPr="003E1849" w:rsidTr="00014507">
        <w:trPr>
          <w:trHeight w:val="14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.1.1</w:t>
            </w:r>
            <w:r w:rsidR="00D800B8" w:rsidRPr="003E1849">
              <w:t>.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Одноставочный тариф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2,45</w:t>
            </w:r>
          </w:p>
        </w:tc>
      </w:tr>
      <w:tr w:rsidR="00467D18" w:rsidRPr="003E1849" w:rsidTr="00014507">
        <w:trPr>
          <w:trHeight w:val="273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.1.2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16407B" w:rsidRPr="003E1849" w:rsidTr="00014507">
        <w:trPr>
          <w:trHeight w:val="19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3,00</w:t>
            </w:r>
          </w:p>
        </w:tc>
      </w:tr>
      <w:tr w:rsidR="0016407B" w:rsidRPr="003E1849" w:rsidTr="00014507">
        <w:trPr>
          <w:trHeight w:val="227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1,35</w:t>
            </w:r>
          </w:p>
        </w:tc>
      </w:tr>
      <w:tr w:rsidR="00467D18" w:rsidRPr="003E1849" w:rsidTr="00014507">
        <w:trPr>
          <w:trHeight w:val="2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.1.3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16407B" w:rsidRPr="003E1849" w:rsidTr="00014507">
        <w:trPr>
          <w:trHeight w:val="179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4,02</w:t>
            </w:r>
          </w:p>
        </w:tc>
      </w:tr>
      <w:tr w:rsidR="0016407B" w:rsidRPr="003E1849" w:rsidTr="00014507">
        <w:trPr>
          <w:trHeight w:val="214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Полупиковая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2,45</w:t>
            </w:r>
          </w:p>
        </w:tc>
      </w:tr>
      <w:tr w:rsidR="0016407B" w:rsidRPr="003E1849" w:rsidTr="00014507">
        <w:trPr>
          <w:trHeight w:val="26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1,35</w:t>
            </w:r>
          </w:p>
        </w:tc>
      </w:tr>
      <w:tr w:rsidR="00467D18" w:rsidRPr="003E1849" w:rsidTr="00014507">
        <w:trPr>
          <w:trHeight w:val="1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EE4609">
            <w:r w:rsidRPr="003E1849">
              <w:t>Потребители, приравненные к населени</w:t>
            </w:r>
            <w:r w:rsidR="00EE4609">
              <w:t>ю</w:t>
            </w:r>
            <w:r w:rsidRPr="003E1849">
              <w:t xml:space="preserve"> в сельских населенных пунктах</w:t>
            </w:r>
          </w:p>
        </w:tc>
      </w:tr>
      <w:tr w:rsidR="0016407B" w:rsidRPr="003E1849" w:rsidTr="00014507">
        <w:trPr>
          <w:trHeight w:val="1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.2.1</w:t>
            </w:r>
            <w:r w:rsidR="00D800B8" w:rsidRPr="003E1849">
              <w:t>.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Одноставочный тариф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1,72</w:t>
            </w:r>
          </w:p>
        </w:tc>
      </w:tr>
      <w:tr w:rsidR="00467D18" w:rsidRPr="003E1849" w:rsidTr="00014507">
        <w:trPr>
          <w:trHeight w:val="273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.2.2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16407B" w:rsidRPr="003E1849" w:rsidTr="00014507">
        <w:trPr>
          <w:trHeight w:val="19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2,11</w:t>
            </w:r>
          </w:p>
        </w:tc>
      </w:tr>
      <w:tr w:rsidR="0016407B" w:rsidRPr="003E1849" w:rsidTr="00014507">
        <w:trPr>
          <w:trHeight w:val="227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8" w:rsidRPr="003E1849" w:rsidRDefault="00467D18" w:rsidP="00D800B8">
            <w:pPr>
              <w:jc w:val="center"/>
            </w:pP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0,95</w:t>
            </w:r>
          </w:p>
        </w:tc>
      </w:tr>
      <w:tr w:rsidR="00467D18" w:rsidRPr="003E1849" w:rsidTr="00014507">
        <w:trPr>
          <w:trHeight w:val="2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E870E4" w:rsidP="00D800B8">
            <w:pPr>
              <w:jc w:val="center"/>
            </w:pPr>
            <w:r w:rsidRPr="003E1849">
              <w:t>2</w:t>
            </w:r>
            <w:r w:rsidR="00467D18" w:rsidRPr="003E1849">
              <w:t>.2.3</w:t>
            </w:r>
            <w:r w:rsidR="00D800B8" w:rsidRPr="003E1849">
              <w:t>.</w:t>
            </w:r>
          </w:p>
        </w:tc>
        <w:tc>
          <w:tcPr>
            <w:tcW w:w="4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582EA7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16407B" w:rsidRPr="003E1849" w:rsidTr="00014507">
        <w:trPr>
          <w:trHeight w:val="179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18" w:rsidRPr="003E1849" w:rsidRDefault="00467D18" w:rsidP="000E42FC"/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2,82</w:t>
            </w:r>
          </w:p>
        </w:tc>
      </w:tr>
      <w:tr w:rsidR="0016407B" w:rsidRPr="003E1849" w:rsidTr="00014507">
        <w:trPr>
          <w:trHeight w:val="214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18" w:rsidRPr="003E1849" w:rsidRDefault="00467D18" w:rsidP="000E42FC"/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Полупиковая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1,72</w:t>
            </w:r>
          </w:p>
        </w:tc>
      </w:tr>
      <w:tr w:rsidR="0016407B" w:rsidRPr="003E1849" w:rsidTr="00014507">
        <w:trPr>
          <w:trHeight w:val="262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18" w:rsidRPr="003E1849" w:rsidRDefault="00467D18" w:rsidP="000E42FC"/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r w:rsidRPr="003E1849">
              <w:t>Ночная зона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18" w:rsidRPr="003E1849" w:rsidRDefault="00467D18" w:rsidP="000E42FC">
            <w:pPr>
              <w:jc w:val="center"/>
            </w:pPr>
            <w:r w:rsidRPr="003E1849">
              <w:t>0,95</w:t>
            </w:r>
          </w:p>
        </w:tc>
      </w:tr>
    </w:tbl>
    <w:p w:rsidR="00582EA7" w:rsidRDefault="00582EA7" w:rsidP="00467D18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</w:rPr>
      </w:pPr>
    </w:p>
    <w:p w:rsidR="00467D18" w:rsidRPr="00582EA7" w:rsidRDefault="00467D18" w:rsidP="00467D18">
      <w:pPr>
        <w:autoSpaceDE w:val="0"/>
        <w:autoSpaceDN w:val="0"/>
        <w:adjustRightInd w:val="0"/>
        <w:ind w:firstLine="540"/>
        <w:jc w:val="both"/>
        <w:outlineLvl w:val="3"/>
      </w:pPr>
      <w:r w:rsidRPr="00582EA7">
        <w:t>Примечания:</w:t>
      </w:r>
    </w:p>
    <w:p w:rsidR="00467D18" w:rsidRPr="00582EA7" w:rsidRDefault="00AB5839" w:rsidP="00467D18">
      <w:pPr>
        <w:autoSpaceDE w:val="0"/>
        <w:autoSpaceDN w:val="0"/>
        <w:adjustRightInd w:val="0"/>
        <w:ind w:firstLine="540"/>
        <w:jc w:val="both"/>
        <w:outlineLvl w:val="3"/>
      </w:pPr>
      <w:r>
        <w:t>1. </w:t>
      </w:r>
      <w:r w:rsidR="00467D18" w:rsidRPr="00582EA7">
        <w:t xml:space="preserve">К тарифной группе </w:t>
      </w:r>
      <w:r w:rsidR="00A24A6F" w:rsidRPr="0062122D">
        <w:t>«</w:t>
      </w:r>
      <w:r w:rsidR="00467D18" w:rsidRPr="0062122D">
        <w:t>населени</w:t>
      </w:r>
      <w:r w:rsidR="00A24A6F" w:rsidRPr="0062122D">
        <w:t>е»</w:t>
      </w:r>
      <w:r w:rsidR="00467D18" w:rsidRPr="00582EA7">
        <w:t xml:space="preserve"> относятся граждане, использующие электроэнергию на коммунально</w:t>
      </w:r>
      <w:r w:rsidR="00B92277">
        <w:t>-</w:t>
      </w:r>
      <w:r w:rsidR="00467D18" w:rsidRPr="00582EA7">
        <w:t>бытовые нужды.</w:t>
      </w:r>
    </w:p>
    <w:p w:rsidR="00467D18" w:rsidRPr="00582EA7" w:rsidRDefault="00467D18" w:rsidP="00467D18">
      <w:pPr>
        <w:autoSpaceDE w:val="0"/>
        <w:autoSpaceDN w:val="0"/>
        <w:adjustRightInd w:val="0"/>
        <w:ind w:firstLine="540"/>
        <w:jc w:val="both"/>
        <w:outlineLvl w:val="3"/>
      </w:pPr>
      <w:r w:rsidRPr="00582EA7">
        <w:t xml:space="preserve">К потребителям, приравненным к </w:t>
      </w:r>
      <w:r w:rsidR="00B92277">
        <w:t xml:space="preserve">категории </w:t>
      </w:r>
      <w:r w:rsidR="0062122D">
        <w:t>«</w:t>
      </w:r>
      <w:r w:rsidRPr="00582EA7">
        <w:t>населени</w:t>
      </w:r>
      <w:r w:rsidR="00B92277">
        <w:t>е</w:t>
      </w:r>
      <w:r w:rsidR="0062122D">
        <w:t>»</w:t>
      </w:r>
      <w:r w:rsidRPr="00582EA7">
        <w:t>, относятся:</w:t>
      </w:r>
    </w:p>
    <w:p w:rsidR="00467D18" w:rsidRDefault="003A0CB1" w:rsidP="00467D18">
      <w:pPr>
        <w:ind w:firstLine="720"/>
        <w:jc w:val="both"/>
      </w:pPr>
      <w:proofErr w:type="gramStart"/>
      <w:r>
        <w:t>- </w:t>
      </w:r>
      <w:r w:rsidR="00467D18" w:rsidRPr="00582EA7"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</w:t>
      </w:r>
      <w:r>
        <w:br/>
      </w:r>
      <w:r w:rsidR="00467D18" w:rsidRPr="00582EA7">
        <w:t xml:space="preserve">в общежитиях, жилые помещения маневренного фонда, жилые помещения </w:t>
      </w:r>
      <w:r>
        <w:br/>
      </w:r>
      <w:r w:rsidR="00467D18" w:rsidRPr="00582EA7">
        <w:t>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="00467D18" w:rsidRPr="00582EA7"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</w:t>
      </w:r>
      <w:r w:rsidR="00354655">
        <w:t>я</w:t>
      </w:r>
      <w:r w:rsidR="00467D18" w:rsidRPr="00582EA7">
        <w:t xml:space="preserve"> в объемах фактического потребления населени</w:t>
      </w:r>
      <w:r w:rsidR="00A24A6F">
        <w:t>я</w:t>
      </w:r>
      <w:r w:rsidR="00467D18" w:rsidRPr="00582EA7">
        <w:t xml:space="preserve">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>
        <w:t>(профессиональной) деятельности;</w:t>
      </w:r>
    </w:p>
    <w:p w:rsidR="00F152C8" w:rsidRPr="00F152C8" w:rsidRDefault="00F152C8" w:rsidP="00F152C8">
      <w:pPr>
        <w:jc w:val="center"/>
        <w:rPr>
          <w:sz w:val="24"/>
          <w:szCs w:val="24"/>
        </w:rPr>
      </w:pPr>
    </w:p>
    <w:p w:rsidR="00F152C8" w:rsidRPr="00F152C8" w:rsidRDefault="00F152C8" w:rsidP="00F152C8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F152C8" w:rsidRPr="00F152C8" w:rsidRDefault="00F152C8" w:rsidP="00F152C8">
      <w:pPr>
        <w:jc w:val="center"/>
        <w:rPr>
          <w:sz w:val="24"/>
          <w:szCs w:val="24"/>
        </w:rPr>
      </w:pP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</w:r>
      <w:r>
        <w:t>родничества и дачного хозяйства;</w:t>
      </w: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</w:t>
      </w:r>
      <w:r>
        <w:t>о учета для указанных помещений;</w:t>
      </w: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 xml:space="preserve"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</w:t>
      </w:r>
      <w:r>
        <w:br/>
        <w:t>по общему счетчику;</w:t>
      </w: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>содержащиеся за счет прихожан религиоз</w:t>
      </w:r>
      <w:r w:rsidR="00CD4F5E">
        <w:t>ные организации;</w:t>
      </w: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</w:t>
      </w:r>
      <w:r>
        <w:br/>
      </w:r>
      <w:r w:rsidR="00467D18" w:rsidRPr="00582EA7">
        <w:t xml:space="preserve">и приравненных к нему категорий потребителей, и объемах электроэнергии, израсходованной на места общего пользования в целях потребления </w:t>
      </w:r>
      <w:r>
        <w:br/>
      </w:r>
      <w:r w:rsidR="00467D18" w:rsidRPr="00582EA7">
        <w:t xml:space="preserve">на коммунально-бытовые нужды граждан и не используемого для осуществления коммерческой </w:t>
      </w:r>
      <w:r>
        <w:t>(профессиональной) деятельности;</w:t>
      </w:r>
      <w:proofErr w:type="gramEnd"/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>хозяйственные постройки физических лиц (погреба, сараи и иные сооружени</w:t>
      </w:r>
      <w:r>
        <w:t>я аналогичного назначения);</w:t>
      </w:r>
    </w:p>
    <w:p w:rsidR="00467D18" w:rsidRPr="00582EA7" w:rsidRDefault="003A0CB1" w:rsidP="00467D18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="00467D18" w:rsidRPr="00582EA7"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467D18" w:rsidRPr="00582EA7" w:rsidRDefault="00014507" w:rsidP="003A0CB1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CB1">
        <w:rPr>
          <w:rFonts w:ascii="Times New Roman" w:hAnsi="Times New Roman"/>
          <w:sz w:val="28"/>
          <w:szCs w:val="28"/>
        </w:rPr>
        <w:t>. </w:t>
      </w:r>
      <w:proofErr w:type="gramStart"/>
      <w:r w:rsidR="00467D18" w:rsidRPr="00582EA7">
        <w:rPr>
          <w:rFonts w:ascii="Times New Roman" w:hAnsi="Times New Roman"/>
          <w:sz w:val="28"/>
          <w:szCs w:val="28"/>
        </w:rPr>
        <w:t xml:space="preserve">Виды городских населенных пунктов и приписанных к ним поселений и сельских населенных пунктов и приписанных к ним поселений, а также порядок их отнесения к городским и сельским устанавливаются </w:t>
      </w:r>
      <w:r w:rsidR="003E1849">
        <w:rPr>
          <w:rFonts w:ascii="Times New Roman" w:hAnsi="Times New Roman"/>
          <w:sz w:val="28"/>
          <w:szCs w:val="28"/>
        </w:rPr>
        <w:br/>
      </w:r>
      <w:r w:rsidR="00467D18" w:rsidRPr="00582EA7">
        <w:rPr>
          <w:rFonts w:ascii="Times New Roman" w:hAnsi="Times New Roman"/>
          <w:sz w:val="28"/>
          <w:szCs w:val="28"/>
        </w:rPr>
        <w:t xml:space="preserve">в соответствии с законодательством Ярославской области </w:t>
      </w:r>
      <w:r w:rsidR="0062122D">
        <w:rPr>
          <w:rFonts w:ascii="Times New Roman" w:hAnsi="Times New Roman"/>
          <w:sz w:val="28"/>
          <w:szCs w:val="28"/>
        </w:rPr>
        <w:br/>
      </w:r>
      <w:r w:rsidR="00467D18" w:rsidRPr="00582EA7">
        <w:rPr>
          <w:rFonts w:ascii="Times New Roman" w:hAnsi="Times New Roman"/>
          <w:sz w:val="28"/>
          <w:szCs w:val="28"/>
        </w:rPr>
        <w:t>об административно</w:t>
      </w:r>
      <w:r w:rsidR="00CD4F5E">
        <w:rPr>
          <w:rFonts w:ascii="Times New Roman" w:hAnsi="Times New Roman"/>
          <w:sz w:val="28"/>
          <w:szCs w:val="28"/>
        </w:rPr>
        <w:t>-</w:t>
      </w:r>
      <w:r w:rsidR="00467D18" w:rsidRPr="00582EA7">
        <w:rPr>
          <w:rFonts w:ascii="Times New Roman" w:hAnsi="Times New Roman"/>
          <w:sz w:val="28"/>
          <w:szCs w:val="28"/>
        </w:rPr>
        <w:t>территориальном делении.</w:t>
      </w:r>
      <w:proofErr w:type="gramEnd"/>
    </w:p>
    <w:p w:rsidR="00467D18" w:rsidRPr="00582EA7" w:rsidRDefault="00014507" w:rsidP="003A0CB1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CB1">
        <w:rPr>
          <w:rFonts w:ascii="Times New Roman" w:hAnsi="Times New Roman"/>
          <w:sz w:val="28"/>
          <w:szCs w:val="28"/>
        </w:rPr>
        <w:t>. </w:t>
      </w:r>
      <w:r w:rsidR="00467D18" w:rsidRPr="00582EA7">
        <w:rPr>
          <w:rFonts w:ascii="Times New Roman" w:hAnsi="Times New Roman"/>
          <w:sz w:val="28"/>
          <w:szCs w:val="28"/>
        </w:rPr>
        <w:t>Интервалы тарифных зон суток для энергозон (ОЭС) России устанавливаются Федеральной службой по тарифам.</w:t>
      </w:r>
    </w:p>
    <w:p w:rsidR="00014507" w:rsidRDefault="00014507" w:rsidP="003A0CB1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4</w:t>
      </w:r>
      <w:r w:rsidR="003A0CB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67D18" w:rsidRPr="00582EA7">
        <w:rPr>
          <w:rFonts w:ascii="Times New Roman" w:hAnsi="Times New Roman" w:cs="Times New Roman"/>
          <w:sz w:val="28"/>
          <w:szCs w:val="28"/>
        </w:rPr>
        <w:t xml:space="preserve">Для потребителей, являющихся родителями (усыновителями) военнослужащих и работников правоохранительных органов, погибших при исполнении своих должностных (служебных) обязанностей, при выполнении задач в условиях чрезвычайного положения и вооруженных конфликтов, </w:t>
      </w:r>
      <w:r w:rsidR="003E1849">
        <w:rPr>
          <w:rFonts w:ascii="Times New Roman" w:hAnsi="Times New Roman" w:cs="Times New Roman"/>
          <w:sz w:val="28"/>
          <w:szCs w:val="28"/>
        </w:rPr>
        <w:br/>
      </w:r>
      <w:r w:rsidR="00467D18" w:rsidRPr="00582EA7">
        <w:rPr>
          <w:rFonts w:ascii="Times New Roman" w:hAnsi="Times New Roman" w:cs="Times New Roman"/>
          <w:sz w:val="28"/>
          <w:szCs w:val="28"/>
        </w:rPr>
        <w:t xml:space="preserve">а также в ходе боевых действий, тариф на электрическую энергию устанавливается в размере 50 процентов от тарифа для соответствующей категории </w:t>
      </w:r>
      <w:r w:rsidR="0062122D">
        <w:rPr>
          <w:rFonts w:ascii="Times New Roman" w:hAnsi="Times New Roman" w:cs="Times New Roman"/>
          <w:sz w:val="28"/>
          <w:szCs w:val="28"/>
        </w:rPr>
        <w:t>«</w:t>
      </w:r>
      <w:r w:rsidR="00467D18" w:rsidRPr="00582EA7">
        <w:rPr>
          <w:rFonts w:ascii="Times New Roman" w:hAnsi="Times New Roman" w:cs="Times New Roman"/>
          <w:sz w:val="28"/>
          <w:szCs w:val="28"/>
        </w:rPr>
        <w:t>населени</w:t>
      </w:r>
      <w:r w:rsidR="0062122D">
        <w:rPr>
          <w:rFonts w:ascii="Times New Roman" w:hAnsi="Times New Roman" w:cs="Times New Roman"/>
          <w:sz w:val="28"/>
          <w:szCs w:val="28"/>
        </w:rPr>
        <w:t>е»</w:t>
      </w:r>
      <w:r w:rsidR="00467D18" w:rsidRPr="00582EA7">
        <w:rPr>
          <w:rFonts w:ascii="Times New Roman" w:hAnsi="Times New Roman" w:cs="Times New Roman"/>
          <w:sz w:val="28"/>
          <w:szCs w:val="28"/>
        </w:rPr>
        <w:t xml:space="preserve"> на весь объем потребленной ими электроэнергии.</w:t>
      </w:r>
      <w:bookmarkEnd w:id="0"/>
      <w:proofErr w:type="gramEnd"/>
    </w:p>
    <w:p w:rsidR="00014507" w:rsidRDefault="00014507" w:rsidP="003A0CB1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  <w:sectPr w:rsidR="00014507" w:rsidSect="00AB5839">
          <w:pgSz w:w="11906" w:h="16838" w:code="9"/>
          <w:pgMar w:top="567" w:right="567" w:bottom="1021" w:left="1985" w:header="709" w:footer="709" w:gutter="0"/>
          <w:cols w:space="708"/>
          <w:titlePg/>
          <w:docGrid w:linePitch="360"/>
        </w:sectPr>
      </w:pPr>
    </w:p>
    <w:p w:rsidR="00467D18" w:rsidRPr="00014507" w:rsidRDefault="00467D18" w:rsidP="00DE4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7" w:type="dxa"/>
        <w:jc w:val="right"/>
        <w:tblInd w:w="4073" w:type="dxa"/>
        <w:tblLook w:val="04A0"/>
      </w:tblPr>
      <w:tblGrid>
        <w:gridCol w:w="4217"/>
      </w:tblGrid>
      <w:tr w:rsidR="00014507" w:rsidTr="00014507">
        <w:trPr>
          <w:jc w:val="right"/>
        </w:trPr>
        <w:tc>
          <w:tcPr>
            <w:tcW w:w="4217" w:type="dxa"/>
            <w:hideMark/>
          </w:tcPr>
          <w:p w:rsidR="00014507" w:rsidRDefault="00014507" w:rsidP="00DE4E6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5E69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014507" w:rsidRDefault="00014507" w:rsidP="00DE4E66">
            <w:r>
              <w:t xml:space="preserve">к приказу департамента топлива, энергетики и регулирования тарифов Ярославской области </w:t>
            </w:r>
          </w:p>
          <w:p w:rsidR="00014507" w:rsidRDefault="00014507" w:rsidP="00DE4E66">
            <w:pPr>
              <w:ind w:right="-108"/>
            </w:pPr>
            <w:r>
              <w:t xml:space="preserve">от  </w:t>
            </w:r>
            <w:r w:rsidR="0047059F">
              <w:t xml:space="preserve">28.11.2011 </w:t>
            </w:r>
            <w:r>
              <w:t xml:space="preserve"> № </w:t>
            </w:r>
            <w:r w:rsidR="00E00DC9">
              <w:t>74</w:t>
            </w:r>
            <w:r>
              <w:t>-э/э</w:t>
            </w:r>
          </w:p>
        </w:tc>
      </w:tr>
    </w:tbl>
    <w:p w:rsidR="00014507" w:rsidRDefault="00014507" w:rsidP="00DE4E66">
      <w:pPr>
        <w:jc w:val="center"/>
        <w:rPr>
          <w:sz w:val="27"/>
          <w:szCs w:val="27"/>
        </w:rPr>
      </w:pPr>
    </w:p>
    <w:p w:rsidR="00014507" w:rsidRDefault="00014507" w:rsidP="00DE4E66">
      <w:pPr>
        <w:jc w:val="center"/>
        <w:rPr>
          <w:b/>
          <w:bCs/>
          <w:sz w:val="24"/>
          <w:szCs w:val="24"/>
        </w:rPr>
      </w:pPr>
    </w:p>
    <w:p w:rsidR="00014507" w:rsidRDefault="00014507" w:rsidP="00DE4E66">
      <w:pPr>
        <w:jc w:val="center"/>
        <w:rPr>
          <w:b/>
          <w:bCs/>
        </w:rPr>
      </w:pPr>
      <w:r>
        <w:rPr>
          <w:b/>
          <w:bCs/>
        </w:rPr>
        <w:t>ЦЕНЫ (ТАРИФЫ)</w:t>
      </w:r>
      <w:r>
        <w:rPr>
          <w:b/>
          <w:bCs/>
        </w:rPr>
        <w:br/>
        <w:t xml:space="preserve">на электрическую энергию для населения </w:t>
      </w:r>
      <w:r>
        <w:rPr>
          <w:b/>
          <w:bCs/>
        </w:rPr>
        <w:br/>
        <w:t>и приравненным к нему категориям потребителей по Ярославской области, устанавливаемые с 01 июля</w:t>
      </w:r>
      <w:r w:rsidR="00D97A38">
        <w:rPr>
          <w:b/>
          <w:bCs/>
        </w:rPr>
        <w:t xml:space="preserve"> 2012 года</w:t>
      </w:r>
      <w:r>
        <w:rPr>
          <w:b/>
          <w:bCs/>
        </w:rPr>
        <w:t xml:space="preserve"> по 31 декабря 2012 года</w:t>
      </w:r>
    </w:p>
    <w:p w:rsidR="00014507" w:rsidRDefault="00014507" w:rsidP="00DE4E66">
      <w:pPr>
        <w:jc w:val="center"/>
      </w:pPr>
    </w:p>
    <w:tbl>
      <w:tblPr>
        <w:tblW w:w="4945" w:type="pct"/>
        <w:tblLayout w:type="fixed"/>
        <w:tblLook w:val="04A0"/>
      </w:tblPr>
      <w:tblGrid>
        <w:gridCol w:w="948"/>
        <w:gridCol w:w="4973"/>
        <w:gridCol w:w="1700"/>
        <w:gridCol w:w="1844"/>
      </w:tblGrid>
      <w:tr w:rsidR="00A27DC2" w:rsidRPr="00A27DC2" w:rsidTr="00A27DC2">
        <w:trPr>
          <w:trHeight w:val="54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A27DC2" w:rsidRDefault="00A27DC2" w:rsidP="00DE4E66">
            <w:pPr>
              <w:jc w:val="center"/>
            </w:pPr>
            <w:r w:rsidRPr="00A27DC2">
              <w:t>№</w:t>
            </w:r>
            <w:r w:rsidRPr="00A27DC2">
              <w:br/>
            </w:r>
            <w:proofErr w:type="gramStart"/>
            <w:r w:rsidRPr="00A27DC2">
              <w:t>п</w:t>
            </w:r>
            <w:proofErr w:type="gramEnd"/>
            <w:r w:rsidRPr="00A27DC2">
              <w:t>/п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A27DC2" w:rsidRDefault="00A27DC2" w:rsidP="00DE4E66">
            <w:pPr>
              <w:jc w:val="center"/>
            </w:pPr>
            <w:r w:rsidRPr="00A27DC2">
              <w:t xml:space="preserve">Показатель (группы потребителей </w:t>
            </w:r>
            <w:r w:rsidRPr="00A27DC2">
              <w:br/>
              <w:t xml:space="preserve">с разбивкой по ставкам и </w:t>
            </w:r>
            <w:r w:rsidRPr="00A27DC2">
              <w:br/>
              <w:t>дифференциацией по зонам суток)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A27DC2" w:rsidRDefault="00A27DC2" w:rsidP="00DE4E66">
            <w:pPr>
              <w:jc w:val="center"/>
            </w:pPr>
            <w:r w:rsidRPr="00A27DC2">
              <w:t>Единица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A27DC2" w:rsidRDefault="00A27DC2" w:rsidP="00DE4E66">
            <w:pPr>
              <w:jc w:val="center"/>
            </w:pPr>
            <w:r w:rsidRPr="00A27DC2">
              <w:t>Цена</w:t>
            </w:r>
            <w:r w:rsidRPr="00A27DC2">
              <w:br/>
              <w:t>(тариф)</w:t>
            </w:r>
          </w:p>
        </w:tc>
      </w:tr>
      <w:tr w:rsidR="00A27DC2" w:rsidRPr="003E1849" w:rsidTr="00A27DC2">
        <w:trPr>
          <w:trHeight w:val="1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4</w:t>
            </w:r>
          </w:p>
        </w:tc>
      </w:tr>
      <w:tr w:rsidR="00A27DC2" w:rsidRPr="003E1849" w:rsidTr="00A27DC2">
        <w:trPr>
          <w:trHeight w:val="257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  <w:rPr>
                <w:bCs/>
              </w:rPr>
            </w:pPr>
            <w:r w:rsidRPr="003E1849">
              <w:rPr>
                <w:bCs/>
              </w:rPr>
              <w:t>Население (тариф с учетом НДС)</w:t>
            </w:r>
          </w:p>
        </w:tc>
      </w:tr>
      <w:tr w:rsidR="00A27DC2" w:rsidRPr="003E1849" w:rsidTr="00A27DC2">
        <w:trPr>
          <w:trHeight w:val="27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1.1.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rPr>
                <w:bCs/>
              </w:rPr>
            </w:pPr>
            <w:r w:rsidRPr="003E1849">
              <w:rPr>
                <w:bCs/>
              </w:rPr>
              <w:t xml:space="preserve">Население (за исключением </w:t>
            </w:r>
            <w:proofErr w:type="gramStart"/>
            <w:r w:rsidRPr="003E1849">
              <w:rPr>
                <w:bCs/>
              </w:rPr>
              <w:t>указанного</w:t>
            </w:r>
            <w:proofErr w:type="gramEnd"/>
            <w:r w:rsidRPr="003E1849">
              <w:rPr>
                <w:bCs/>
              </w:rPr>
              <w:t xml:space="preserve"> в пунктах 1.2 и 1.3)</w:t>
            </w:r>
          </w:p>
        </w:tc>
      </w:tr>
      <w:tr w:rsidR="00A27DC2" w:rsidRPr="003E1849" w:rsidTr="00A27DC2">
        <w:trPr>
          <w:trHeight w:val="18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1.1.1.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r w:rsidRPr="003E1849">
              <w:t>Одноставочный тариф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2,59</w:t>
            </w:r>
          </w:p>
        </w:tc>
      </w:tr>
      <w:tr w:rsidR="00A27DC2" w:rsidRPr="003E1849" w:rsidTr="00A27DC2">
        <w:trPr>
          <w:trHeight w:val="216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1.1.2.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A27DC2" w:rsidRPr="003E1849" w:rsidTr="00A27DC2">
        <w:trPr>
          <w:trHeight w:val="236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DE4E66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r w:rsidRPr="003E1849">
              <w:t>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3,17</w:t>
            </w:r>
          </w:p>
        </w:tc>
      </w:tr>
      <w:tr w:rsidR="00A27DC2" w:rsidRPr="003E1849" w:rsidTr="00A27DC2">
        <w:trPr>
          <w:trHeight w:val="283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DE4E66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r w:rsidRPr="003E1849">
              <w:t>Ночная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1,43</w:t>
            </w:r>
          </w:p>
        </w:tc>
      </w:tr>
      <w:tr w:rsidR="00A27DC2" w:rsidRPr="003E1849" w:rsidTr="00A27DC2">
        <w:trPr>
          <w:trHeight w:val="190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1.1.3.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A27DC2" w:rsidRPr="003E1849" w:rsidTr="00A27DC2">
        <w:trPr>
          <w:trHeight w:val="252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DE4E66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r w:rsidRPr="003E1849">
              <w:t>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4,25</w:t>
            </w:r>
          </w:p>
        </w:tc>
      </w:tr>
      <w:tr w:rsidR="00A27DC2" w:rsidRPr="003E1849" w:rsidTr="00A27DC2">
        <w:trPr>
          <w:trHeight w:val="299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DE4E66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r w:rsidRPr="003E1849">
              <w:t>Полупиковая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DE4E66">
            <w:pPr>
              <w:jc w:val="center"/>
            </w:pPr>
            <w:r w:rsidRPr="003E1849">
              <w:t>2,59</w:t>
            </w:r>
          </w:p>
        </w:tc>
      </w:tr>
      <w:tr w:rsidR="00A27DC2" w:rsidRPr="003E1849" w:rsidTr="00A27DC2">
        <w:trPr>
          <w:trHeight w:val="192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DE4E66" w:rsidP="000E42FC">
            <w:pPr>
              <w:jc w:val="center"/>
            </w:pPr>
            <w:r>
              <w:t>1,43</w:t>
            </w:r>
          </w:p>
        </w:tc>
      </w:tr>
      <w:tr w:rsidR="00A27DC2" w:rsidRPr="003E1849" w:rsidTr="00A27DC2">
        <w:trPr>
          <w:trHeight w:val="8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1.2.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5869A6">
            <w:pPr>
              <w:rPr>
                <w:bCs/>
              </w:rPr>
            </w:pPr>
            <w:r w:rsidRPr="003E1849">
              <w:rPr>
                <w:bCs/>
              </w:rPr>
              <w:t xml:space="preserve">Население, проживающее в городских населенных пунктах </w:t>
            </w:r>
            <w:r w:rsidRPr="003E1849">
              <w:rPr>
                <w:bCs/>
              </w:rPr>
              <w:br/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27DC2" w:rsidRPr="003E1849" w:rsidTr="00A27DC2">
        <w:trPr>
          <w:trHeight w:val="22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1.2.1.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Одноставочный тариф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1,81</w:t>
            </w:r>
          </w:p>
        </w:tc>
      </w:tr>
      <w:tr w:rsidR="00A27DC2" w:rsidRPr="003E1849" w:rsidTr="00A27DC2">
        <w:trPr>
          <w:trHeight w:val="272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1.2.2.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A27DC2" w:rsidRPr="003E1849" w:rsidTr="00A27DC2">
        <w:trPr>
          <w:trHeight w:val="30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2,23</w:t>
            </w:r>
          </w:p>
        </w:tc>
      </w:tr>
      <w:tr w:rsidR="00A27DC2" w:rsidRPr="003E1849" w:rsidTr="00A27DC2">
        <w:trPr>
          <w:trHeight w:val="253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1,00</w:t>
            </w:r>
          </w:p>
        </w:tc>
      </w:tr>
      <w:tr w:rsidR="00A27DC2" w:rsidRPr="003E1849" w:rsidTr="00A27DC2">
        <w:trPr>
          <w:trHeight w:val="302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1.2.3.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A27DC2" w:rsidRPr="003E1849" w:rsidTr="00A27DC2">
        <w:trPr>
          <w:trHeight w:val="293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2,98</w:t>
            </w:r>
          </w:p>
        </w:tc>
      </w:tr>
      <w:tr w:rsidR="00A27DC2" w:rsidRPr="003E1849" w:rsidTr="00A27DC2">
        <w:trPr>
          <w:trHeight w:val="18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Полупиковая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1,81</w:t>
            </w:r>
          </w:p>
        </w:tc>
      </w:tr>
      <w:tr w:rsidR="00A27DC2" w:rsidRPr="003E1849" w:rsidTr="00A27DC2">
        <w:trPr>
          <w:trHeight w:val="234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5869A6">
            <w:pPr>
              <w:jc w:val="center"/>
            </w:pPr>
            <w:r w:rsidRPr="003E1849">
              <w:t>1,00</w:t>
            </w:r>
          </w:p>
        </w:tc>
      </w:tr>
      <w:tr w:rsidR="00A27DC2" w:rsidRPr="003E1849" w:rsidTr="00A27DC2">
        <w:trPr>
          <w:trHeight w:val="26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1.3.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Население, проживающее в сельских населенных пунктах</w:t>
            </w:r>
          </w:p>
        </w:tc>
      </w:tr>
      <w:tr w:rsidR="00A27DC2" w:rsidRPr="003E1849" w:rsidTr="00A27DC2">
        <w:trPr>
          <w:trHeight w:val="25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1.3.1.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Одноставочный тариф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1,81</w:t>
            </w:r>
          </w:p>
        </w:tc>
      </w:tr>
      <w:tr w:rsidR="00A27DC2" w:rsidRPr="003E1849" w:rsidTr="00A27DC2">
        <w:trPr>
          <w:trHeight w:val="30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1.3.2.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A27DC2" w:rsidRPr="003E1849" w:rsidTr="00A27DC2">
        <w:trPr>
          <w:trHeight w:val="25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2,23</w:t>
            </w:r>
          </w:p>
        </w:tc>
      </w:tr>
      <w:tr w:rsidR="00A27DC2" w:rsidRPr="003E1849" w:rsidTr="00A27DC2">
        <w:trPr>
          <w:trHeight w:val="17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1,00</w:t>
            </w:r>
          </w:p>
        </w:tc>
      </w:tr>
      <w:tr w:rsidR="00A27DC2" w:rsidRPr="003E1849" w:rsidTr="00A27DC2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1.3.3.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401CAF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A27DC2" w:rsidRPr="003E1849" w:rsidTr="00A27DC2">
        <w:trPr>
          <w:trHeight w:val="20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2,98</w:t>
            </w:r>
          </w:p>
        </w:tc>
      </w:tr>
      <w:tr w:rsidR="00A27DC2" w:rsidRPr="003E1849" w:rsidTr="00A27DC2">
        <w:trPr>
          <w:trHeight w:val="20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8901A8">
            <w:pPr>
              <w:jc w:val="center"/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8901A8">
            <w:r w:rsidRPr="003E1849">
              <w:t>Полупиковая зона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8901A8">
            <w:pPr>
              <w:jc w:val="center"/>
            </w:pPr>
            <w:r w:rsidRPr="003E1849">
              <w:t>руб./кВт х 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8901A8">
            <w:pPr>
              <w:jc w:val="center"/>
            </w:pPr>
            <w:r w:rsidRPr="003E1849">
              <w:t>1,81</w:t>
            </w:r>
          </w:p>
        </w:tc>
      </w:tr>
    </w:tbl>
    <w:p w:rsidR="00401CAF" w:rsidRPr="003E1849" w:rsidRDefault="00401CAF" w:rsidP="000E42FC">
      <w:pPr>
        <w:jc w:val="center"/>
        <w:rPr>
          <w:sz w:val="24"/>
          <w:szCs w:val="24"/>
        </w:rPr>
      </w:pPr>
    </w:p>
    <w:p w:rsidR="000E42FC" w:rsidRPr="003E1849" w:rsidRDefault="000E42FC" w:rsidP="000E42FC">
      <w:pPr>
        <w:jc w:val="center"/>
        <w:rPr>
          <w:sz w:val="24"/>
          <w:szCs w:val="24"/>
        </w:rPr>
      </w:pPr>
      <w:r w:rsidRPr="003E1849">
        <w:rPr>
          <w:sz w:val="24"/>
          <w:szCs w:val="24"/>
        </w:rPr>
        <w:t>2</w:t>
      </w:r>
    </w:p>
    <w:p w:rsidR="000E42FC" w:rsidRPr="003E1849" w:rsidRDefault="000E42FC" w:rsidP="000E42FC">
      <w:pPr>
        <w:jc w:val="center"/>
        <w:rPr>
          <w:sz w:val="24"/>
          <w:szCs w:val="24"/>
        </w:rPr>
      </w:pPr>
    </w:p>
    <w:tbl>
      <w:tblPr>
        <w:tblW w:w="4945" w:type="pct"/>
        <w:tblLayout w:type="fixed"/>
        <w:tblLook w:val="04A0"/>
      </w:tblPr>
      <w:tblGrid>
        <w:gridCol w:w="962"/>
        <w:gridCol w:w="4880"/>
        <w:gridCol w:w="1679"/>
        <w:gridCol w:w="1944"/>
      </w:tblGrid>
      <w:tr w:rsidR="00A27DC2" w:rsidRPr="003E1849" w:rsidTr="00EE4609">
        <w:trPr>
          <w:trHeight w:val="20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4</w:t>
            </w:r>
          </w:p>
        </w:tc>
      </w:tr>
      <w:tr w:rsidR="00A27DC2" w:rsidRPr="003E1849" w:rsidTr="00EE4609">
        <w:trPr>
          <w:trHeight w:val="2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1,00</w:t>
            </w:r>
          </w:p>
        </w:tc>
      </w:tr>
      <w:tr w:rsidR="00EE4609" w:rsidTr="00EE4609">
        <w:trPr>
          <w:trHeight w:val="60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9" w:rsidRDefault="00EE4609">
            <w:pPr>
              <w:jc w:val="center"/>
            </w:pPr>
            <w:r>
              <w:t>2.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609" w:rsidRPr="00EE4609" w:rsidRDefault="00C07D73">
            <w:pPr>
              <w:jc w:val="center"/>
            </w:pPr>
            <w:hyperlink r:id="rId20" w:anchor="RANGE!sub_161021" w:history="1">
              <w:r w:rsidR="00EE4609" w:rsidRPr="00EE4609">
                <w:rPr>
                  <w:rStyle w:val="a3"/>
                  <w:color w:val="auto"/>
                  <w:u w:val="none"/>
                </w:rPr>
                <w:t xml:space="preserve">Потребители, приравненные к населению </w:t>
              </w:r>
              <w:r w:rsidR="00EE4609" w:rsidRPr="00EE4609">
                <w:br/>
              </w:r>
              <w:r w:rsidR="00EE4609" w:rsidRPr="00EE4609">
                <w:rPr>
                  <w:rStyle w:val="a3"/>
                  <w:color w:val="auto"/>
                  <w:u w:val="none"/>
                </w:rPr>
                <w:t>(тариф с учетом НДС)</w:t>
              </w:r>
            </w:hyperlink>
          </w:p>
        </w:tc>
      </w:tr>
      <w:tr w:rsidR="00EE4609" w:rsidTr="00EE4609">
        <w:trPr>
          <w:trHeight w:val="1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9" w:rsidRDefault="00EE4609">
            <w:pPr>
              <w:jc w:val="center"/>
            </w:pPr>
            <w:r>
              <w:t>2.1.</w:t>
            </w:r>
          </w:p>
        </w:tc>
        <w:tc>
          <w:tcPr>
            <w:tcW w:w="4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609" w:rsidRDefault="00EE4609" w:rsidP="00EE4609">
            <w:r>
              <w:t xml:space="preserve">Потребители, приравненные к населению в городских </w:t>
            </w:r>
            <w:r>
              <w:br/>
              <w:t>населенных пунктах</w:t>
            </w:r>
          </w:p>
        </w:tc>
      </w:tr>
      <w:tr w:rsidR="00A27DC2" w:rsidRPr="003E1849" w:rsidTr="00EE4609">
        <w:trPr>
          <w:trHeight w:val="14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2.1.1.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Одноставочный тариф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2,59</w:t>
            </w:r>
          </w:p>
        </w:tc>
      </w:tr>
      <w:tr w:rsidR="00A27DC2" w:rsidRPr="003E1849" w:rsidTr="00EE4609">
        <w:trPr>
          <w:trHeight w:val="273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2.1.2.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A27DC2" w:rsidRPr="003E1849" w:rsidTr="00EE4609">
        <w:trPr>
          <w:trHeight w:val="192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3,17</w:t>
            </w:r>
          </w:p>
        </w:tc>
      </w:tr>
      <w:tr w:rsidR="00A27DC2" w:rsidRPr="003E1849" w:rsidTr="00EE4609">
        <w:trPr>
          <w:trHeight w:val="227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1,43</w:t>
            </w:r>
          </w:p>
        </w:tc>
      </w:tr>
      <w:tr w:rsidR="00A27DC2" w:rsidRPr="003E1849" w:rsidTr="00EE4609">
        <w:trPr>
          <w:trHeight w:val="260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2.1.3.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A27DC2" w:rsidRPr="003E1849" w:rsidTr="00EE4609">
        <w:trPr>
          <w:trHeight w:val="179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4,25</w:t>
            </w:r>
          </w:p>
        </w:tc>
      </w:tr>
      <w:tr w:rsidR="00A27DC2" w:rsidRPr="003E1849" w:rsidTr="00EE4609">
        <w:trPr>
          <w:trHeight w:val="214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Полупиковая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2,59</w:t>
            </w:r>
          </w:p>
        </w:tc>
      </w:tr>
      <w:tr w:rsidR="00A27DC2" w:rsidRPr="003E1849" w:rsidTr="00EE4609">
        <w:trPr>
          <w:trHeight w:val="262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1,43</w:t>
            </w:r>
          </w:p>
        </w:tc>
      </w:tr>
      <w:tr w:rsidR="00EE4609" w:rsidTr="00EE4609">
        <w:trPr>
          <w:trHeight w:val="14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9" w:rsidRDefault="00EE4609">
            <w:pPr>
              <w:jc w:val="center"/>
            </w:pPr>
            <w:r>
              <w:t>2.2.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609" w:rsidRDefault="00EE4609">
            <w:r>
              <w:t>Потребители, приравненные к населению в сельских населенных пунктах</w:t>
            </w:r>
          </w:p>
        </w:tc>
      </w:tr>
      <w:tr w:rsidR="00A27DC2" w:rsidRPr="003E1849" w:rsidTr="00EE4609">
        <w:trPr>
          <w:trHeight w:val="14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2.2.1.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Одноставочный тариф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1,81</w:t>
            </w:r>
          </w:p>
        </w:tc>
      </w:tr>
      <w:tr w:rsidR="00A27DC2" w:rsidRPr="003E1849" w:rsidTr="00EE4609">
        <w:trPr>
          <w:trHeight w:val="273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2.2.2.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двум зонам суток</w:t>
            </w:r>
          </w:p>
        </w:tc>
      </w:tr>
      <w:tr w:rsidR="00A27DC2" w:rsidRPr="003E1849" w:rsidTr="00EE4609">
        <w:trPr>
          <w:trHeight w:val="192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2,23</w:t>
            </w:r>
          </w:p>
        </w:tc>
      </w:tr>
      <w:tr w:rsidR="00A27DC2" w:rsidRPr="003E1849" w:rsidTr="00EE4609">
        <w:trPr>
          <w:trHeight w:val="227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2" w:rsidRPr="003E1849" w:rsidRDefault="00A27DC2" w:rsidP="000E42FC">
            <w:pPr>
              <w:jc w:val="center"/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1,00</w:t>
            </w:r>
          </w:p>
        </w:tc>
      </w:tr>
      <w:tr w:rsidR="00A27DC2" w:rsidRPr="003E1849" w:rsidTr="00EE4609">
        <w:trPr>
          <w:trHeight w:val="260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2.2.3.</w:t>
            </w:r>
          </w:p>
        </w:tc>
        <w:tc>
          <w:tcPr>
            <w:tcW w:w="4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rPr>
                <w:bCs/>
              </w:rPr>
            </w:pPr>
            <w:r w:rsidRPr="003E1849">
              <w:rPr>
                <w:bCs/>
              </w:rPr>
              <w:t>Тариф, дифференцированный по трем зонам суток</w:t>
            </w:r>
          </w:p>
        </w:tc>
      </w:tr>
      <w:tr w:rsidR="00A27DC2" w:rsidRPr="003E1849" w:rsidTr="00EE4609">
        <w:trPr>
          <w:trHeight w:val="179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2" w:rsidRPr="003E1849" w:rsidRDefault="00A27DC2" w:rsidP="000E42FC"/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2,98</w:t>
            </w:r>
          </w:p>
        </w:tc>
      </w:tr>
      <w:tr w:rsidR="00A27DC2" w:rsidRPr="003E1849" w:rsidTr="00EE4609">
        <w:trPr>
          <w:trHeight w:val="214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2" w:rsidRPr="003E1849" w:rsidRDefault="00A27DC2" w:rsidP="000E42FC"/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Полупиковая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1,81</w:t>
            </w:r>
          </w:p>
        </w:tc>
      </w:tr>
      <w:tr w:rsidR="00A27DC2" w:rsidRPr="003E1849" w:rsidTr="00EE4609">
        <w:trPr>
          <w:trHeight w:val="262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2" w:rsidRPr="003E1849" w:rsidRDefault="00A27DC2" w:rsidP="000E42FC"/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r w:rsidRPr="003E1849">
              <w:t>Ночная зона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руб./кВт х 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2" w:rsidRPr="003E1849" w:rsidRDefault="00A27DC2" w:rsidP="000E42FC">
            <w:pPr>
              <w:jc w:val="center"/>
            </w:pPr>
            <w:r w:rsidRPr="003E1849">
              <w:t>1,00</w:t>
            </w:r>
          </w:p>
        </w:tc>
      </w:tr>
    </w:tbl>
    <w:p w:rsidR="003A0CB1" w:rsidRDefault="003A0CB1" w:rsidP="00014507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E6976" w:rsidRPr="00582EA7" w:rsidRDefault="005E6976" w:rsidP="005E6976">
      <w:pPr>
        <w:autoSpaceDE w:val="0"/>
        <w:autoSpaceDN w:val="0"/>
        <w:adjustRightInd w:val="0"/>
        <w:ind w:firstLine="540"/>
        <w:jc w:val="both"/>
        <w:outlineLvl w:val="3"/>
      </w:pPr>
      <w:r w:rsidRPr="00582EA7">
        <w:t>Примечания:</w:t>
      </w:r>
    </w:p>
    <w:p w:rsidR="005E6976" w:rsidRPr="00582EA7" w:rsidRDefault="005E6976" w:rsidP="005E6976">
      <w:pPr>
        <w:autoSpaceDE w:val="0"/>
        <w:autoSpaceDN w:val="0"/>
        <w:adjustRightInd w:val="0"/>
        <w:ind w:firstLine="540"/>
        <w:jc w:val="both"/>
        <w:outlineLvl w:val="3"/>
      </w:pPr>
      <w:r>
        <w:t>1. </w:t>
      </w:r>
      <w:r w:rsidRPr="00582EA7">
        <w:t xml:space="preserve">К тарифной группе </w:t>
      </w:r>
      <w:r w:rsidR="00443FF3">
        <w:t>«население»</w:t>
      </w:r>
      <w:r w:rsidRPr="00582EA7">
        <w:t xml:space="preserve"> относятся граждане, использующие электроэнергию на коммунально</w:t>
      </w:r>
      <w:r>
        <w:t>-</w:t>
      </w:r>
      <w:r w:rsidRPr="00582EA7">
        <w:t>бытовые нужды.</w:t>
      </w:r>
    </w:p>
    <w:p w:rsidR="005E6976" w:rsidRPr="00582EA7" w:rsidRDefault="005E6976" w:rsidP="005E6976">
      <w:pPr>
        <w:autoSpaceDE w:val="0"/>
        <w:autoSpaceDN w:val="0"/>
        <w:adjustRightInd w:val="0"/>
        <w:ind w:firstLine="540"/>
        <w:jc w:val="both"/>
        <w:outlineLvl w:val="3"/>
      </w:pPr>
      <w:r w:rsidRPr="00582EA7">
        <w:t xml:space="preserve">К потребителям, приравненным к </w:t>
      </w:r>
      <w:r>
        <w:t xml:space="preserve">категории </w:t>
      </w:r>
      <w:r w:rsidR="0062122D">
        <w:t>«</w:t>
      </w:r>
      <w:r w:rsidRPr="00582EA7">
        <w:t>населени</w:t>
      </w:r>
      <w:r>
        <w:t>е</w:t>
      </w:r>
      <w:r w:rsidR="0062122D">
        <w:t>»</w:t>
      </w:r>
      <w:r w:rsidRPr="00582EA7">
        <w:t>, относятся:</w:t>
      </w:r>
    </w:p>
    <w:p w:rsidR="005E6976" w:rsidRDefault="005E6976" w:rsidP="005E6976">
      <w:pPr>
        <w:ind w:firstLine="720"/>
        <w:jc w:val="both"/>
      </w:pPr>
      <w:proofErr w:type="gramStart"/>
      <w:r>
        <w:t>- </w:t>
      </w:r>
      <w:r w:rsidRPr="00582EA7"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</w:t>
      </w:r>
      <w:r>
        <w:br/>
      </w:r>
      <w:r w:rsidRPr="00582EA7">
        <w:t xml:space="preserve">в общежитиях, жилые помещения маневренного фонда, жилые помещения </w:t>
      </w:r>
      <w:r>
        <w:br/>
      </w:r>
      <w:r w:rsidRPr="00582EA7">
        <w:t>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582EA7"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>
        <w:t>(профессиональной) деятельности;</w:t>
      </w:r>
    </w:p>
    <w:p w:rsidR="005E6976" w:rsidRPr="00F152C8" w:rsidRDefault="005E6976" w:rsidP="005E6976">
      <w:pPr>
        <w:jc w:val="center"/>
        <w:rPr>
          <w:sz w:val="24"/>
          <w:szCs w:val="24"/>
        </w:rPr>
      </w:pPr>
    </w:p>
    <w:p w:rsidR="005E6976" w:rsidRPr="00F152C8" w:rsidRDefault="005E6976" w:rsidP="005E6976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E6976" w:rsidRPr="00F152C8" w:rsidRDefault="005E6976" w:rsidP="005E6976">
      <w:pPr>
        <w:jc w:val="center"/>
        <w:rPr>
          <w:sz w:val="24"/>
          <w:szCs w:val="24"/>
        </w:rPr>
      </w:pP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</w:r>
      <w:r>
        <w:t>родничества и дачного хозяйства;</w:t>
      </w: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</w:t>
      </w:r>
      <w:r>
        <w:t>о учета для указанных помещений;</w:t>
      </w: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 xml:space="preserve"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</w:t>
      </w:r>
      <w:r>
        <w:br/>
        <w:t>по общему счетчику;</w:t>
      </w: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>содержащиеся за счет прихожан религиозные организации.</w:t>
      </w: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</w:t>
      </w:r>
      <w:r>
        <w:br/>
      </w:r>
      <w:r w:rsidRPr="00582EA7">
        <w:t xml:space="preserve">и приравненных к нему категорий потребителей, и объемах электроэнергии, израсходованной на места общего пользования в целях потребления </w:t>
      </w:r>
      <w:r>
        <w:br/>
      </w:r>
      <w:r w:rsidRPr="00582EA7">
        <w:t xml:space="preserve">на коммунально-бытовые нужды граждан и не используемого для осуществления коммерческой </w:t>
      </w:r>
      <w:r>
        <w:t>(профессиональной) деятельности;</w:t>
      </w:r>
      <w:proofErr w:type="gramEnd"/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>хозяйственные постройки физических лиц (погреба, сараи и иные сооружени</w:t>
      </w:r>
      <w:r>
        <w:t>я аналогичного назначения);</w:t>
      </w:r>
    </w:p>
    <w:p w:rsidR="005E6976" w:rsidRPr="00582EA7" w:rsidRDefault="005E6976" w:rsidP="005E6976">
      <w:pPr>
        <w:autoSpaceDE w:val="0"/>
        <w:autoSpaceDN w:val="0"/>
        <w:adjustRightInd w:val="0"/>
        <w:ind w:firstLine="720"/>
        <w:jc w:val="both"/>
      </w:pPr>
      <w:r>
        <w:rPr>
          <w:rFonts w:ascii="Arial" w:eastAsia="Calibri" w:hAnsi="Arial" w:cs="Arial"/>
          <w:b/>
          <w:bCs/>
          <w:color w:val="000080"/>
          <w:sz w:val="24"/>
          <w:szCs w:val="24"/>
          <w:lang w:eastAsia="en-US"/>
        </w:rPr>
        <w:t>- </w:t>
      </w:r>
      <w:r w:rsidRPr="00582EA7"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E6976" w:rsidRPr="00582EA7" w:rsidRDefault="005E6976" w:rsidP="005E6976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582EA7">
        <w:rPr>
          <w:rFonts w:ascii="Times New Roman" w:hAnsi="Times New Roman"/>
          <w:sz w:val="28"/>
          <w:szCs w:val="28"/>
        </w:rPr>
        <w:t xml:space="preserve">Виды городских населенных пунктов и приписанных к ним поселений и сельских населенных пунктов и приписанных к ним поселений, а также порядок их отнесения к городским и сельским устанавливаются </w:t>
      </w:r>
      <w:r w:rsidR="003E1849">
        <w:rPr>
          <w:rFonts w:ascii="Times New Roman" w:hAnsi="Times New Roman"/>
          <w:sz w:val="28"/>
          <w:szCs w:val="28"/>
        </w:rPr>
        <w:br/>
      </w:r>
      <w:r w:rsidRPr="00582EA7">
        <w:rPr>
          <w:rFonts w:ascii="Times New Roman" w:hAnsi="Times New Roman"/>
          <w:sz w:val="28"/>
          <w:szCs w:val="28"/>
        </w:rPr>
        <w:t xml:space="preserve">в соответствии с законодательством Ярославской области </w:t>
      </w:r>
      <w:r w:rsidR="0062122D">
        <w:rPr>
          <w:rFonts w:ascii="Times New Roman" w:hAnsi="Times New Roman"/>
          <w:sz w:val="28"/>
          <w:szCs w:val="28"/>
        </w:rPr>
        <w:br/>
      </w:r>
      <w:r w:rsidRPr="00582EA7">
        <w:rPr>
          <w:rFonts w:ascii="Times New Roman" w:hAnsi="Times New Roman"/>
          <w:sz w:val="28"/>
          <w:szCs w:val="28"/>
        </w:rPr>
        <w:t>об административно–территориальном делении.</w:t>
      </w:r>
      <w:proofErr w:type="gramEnd"/>
    </w:p>
    <w:p w:rsidR="005E6976" w:rsidRPr="00582EA7" w:rsidRDefault="005E6976" w:rsidP="005E6976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82EA7">
        <w:rPr>
          <w:rFonts w:ascii="Times New Roman" w:hAnsi="Times New Roman"/>
          <w:sz w:val="28"/>
          <w:szCs w:val="28"/>
        </w:rPr>
        <w:t>Интервалы тарифных зон суток для энергозон (ОЭС) России устанавливаются Федеральной службой по тарифам.</w:t>
      </w:r>
    </w:p>
    <w:p w:rsidR="00401CAF" w:rsidRPr="003A0CB1" w:rsidRDefault="005E6976" w:rsidP="00014507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82EA7">
        <w:rPr>
          <w:rFonts w:ascii="Times New Roman" w:hAnsi="Times New Roman" w:cs="Times New Roman"/>
          <w:sz w:val="28"/>
          <w:szCs w:val="28"/>
        </w:rPr>
        <w:t xml:space="preserve">Для потребителей, являющихся родителями (усыновителями) военнослужащих и работников правоохранительных органов, погибших при исполнении своих должностных (служебных) обязанностей, при выполнении задач в условиях чрезвычайного положения и вооруженных конфликтов, </w:t>
      </w:r>
      <w:r w:rsidR="003E1849">
        <w:rPr>
          <w:rFonts w:ascii="Times New Roman" w:hAnsi="Times New Roman" w:cs="Times New Roman"/>
          <w:sz w:val="28"/>
          <w:szCs w:val="28"/>
        </w:rPr>
        <w:br/>
      </w:r>
      <w:r w:rsidRPr="00582EA7">
        <w:rPr>
          <w:rFonts w:ascii="Times New Roman" w:hAnsi="Times New Roman" w:cs="Times New Roman"/>
          <w:sz w:val="28"/>
          <w:szCs w:val="28"/>
        </w:rPr>
        <w:t xml:space="preserve">а также в ходе боевых действий, тариф на электрическую энергию устанавливается в размере 50 процентов от тарифа для соответствующей категории </w:t>
      </w:r>
      <w:r w:rsidR="0062122D">
        <w:rPr>
          <w:rFonts w:ascii="Times New Roman" w:hAnsi="Times New Roman" w:cs="Times New Roman"/>
          <w:sz w:val="28"/>
          <w:szCs w:val="28"/>
        </w:rPr>
        <w:t>«</w:t>
      </w:r>
      <w:r w:rsidRPr="00582EA7">
        <w:rPr>
          <w:rFonts w:ascii="Times New Roman" w:hAnsi="Times New Roman" w:cs="Times New Roman"/>
          <w:sz w:val="28"/>
          <w:szCs w:val="28"/>
        </w:rPr>
        <w:t>населени</w:t>
      </w:r>
      <w:r w:rsidR="0062122D">
        <w:rPr>
          <w:rFonts w:ascii="Times New Roman" w:hAnsi="Times New Roman" w:cs="Times New Roman"/>
          <w:sz w:val="28"/>
          <w:szCs w:val="28"/>
        </w:rPr>
        <w:t>е»</w:t>
      </w:r>
      <w:r w:rsidRPr="00582EA7">
        <w:rPr>
          <w:rFonts w:ascii="Times New Roman" w:hAnsi="Times New Roman" w:cs="Times New Roman"/>
          <w:sz w:val="28"/>
          <w:szCs w:val="28"/>
        </w:rPr>
        <w:t xml:space="preserve"> на весь объем потребленной ими электроэнергии.</w:t>
      </w:r>
      <w:proofErr w:type="gramEnd"/>
    </w:p>
    <w:sectPr w:rsidR="00401CAF" w:rsidRPr="003A0CB1" w:rsidSect="00AB5839">
      <w:pgSz w:w="11906" w:h="16838" w:code="9"/>
      <w:pgMar w:top="567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73" w:rsidRDefault="00C07D73">
      <w:r>
        <w:separator/>
      </w:r>
    </w:p>
  </w:endnote>
  <w:endnote w:type="continuationSeparator" w:id="0">
    <w:p w:rsidR="00C07D73" w:rsidRDefault="00C0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73" w:rsidRDefault="00C07D73">
      <w:r>
        <w:separator/>
      </w:r>
    </w:p>
  </w:footnote>
  <w:footnote w:type="continuationSeparator" w:id="0">
    <w:p w:rsidR="00C07D73" w:rsidRDefault="00C07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D51"/>
    <w:multiLevelType w:val="hybridMultilevel"/>
    <w:tmpl w:val="F67A6A8A"/>
    <w:lvl w:ilvl="0" w:tplc="D50821DA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9B"/>
    <w:rsid w:val="00006E11"/>
    <w:rsid w:val="00010F4F"/>
    <w:rsid w:val="000142DF"/>
    <w:rsid w:val="00014507"/>
    <w:rsid w:val="00015C4C"/>
    <w:rsid w:val="000211BF"/>
    <w:rsid w:val="00031F06"/>
    <w:rsid w:val="00034019"/>
    <w:rsid w:val="000355E0"/>
    <w:rsid w:val="000413C7"/>
    <w:rsid w:val="00046309"/>
    <w:rsid w:val="00051202"/>
    <w:rsid w:val="00056EE8"/>
    <w:rsid w:val="000621D3"/>
    <w:rsid w:val="00063102"/>
    <w:rsid w:val="00075556"/>
    <w:rsid w:val="0009403E"/>
    <w:rsid w:val="00095221"/>
    <w:rsid w:val="00095594"/>
    <w:rsid w:val="000A4753"/>
    <w:rsid w:val="000A799F"/>
    <w:rsid w:val="000D24DD"/>
    <w:rsid w:val="000E42FC"/>
    <w:rsid w:val="000E6361"/>
    <w:rsid w:val="000F007B"/>
    <w:rsid w:val="00100028"/>
    <w:rsid w:val="001115C6"/>
    <w:rsid w:val="0011468D"/>
    <w:rsid w:val="00125C2B"/>
    <w:rsid w:val="00132467"/>
    <w:rsid w:val="00132747"/>
    <w:rsid w:val="00136CA5"/>
    <w:rsid w:val="00151817"/>
    <w:rsid w:val="0015473A"/>
    <w:rsid w:val="00156234"/>
    <w:rsid w:val="0016407B"/>
    <w:rsid w:val="00164508"/>
    <w:rsid w:val="00164A38"/>
    <w:rsid w:val="00167323"/>
    <w:rsid w:val="00167A82"/>
    <w:rsid w:val="00170822"/>
    <w:rsid w:val="00177A82"/>
    <w:rsid w:val="001843C7"/>
    <w:rsid w:val="001930D6"/>
    <w:rsid w:val="001950AC"/>
    <w:rsid w:val="00195BE5"/>
    <w:rsid w:val="001A4EB4"/>
    <w:rsid w:val="001A584A"/>
    <w:rsid w:val="001D40BE"/>
    <w:rsid w:val="001D6F51"/>
    <w:rsid w:val="001E2CE9"/>
    <w:rsid w:val="001F5473"/>
    <w:rsid w:val="00202649"/>
    <w:rsid w:val="002051F9"/>
    <w:rsid w:val="00206313"/>
    <w:rsid w:val="00213DFE"/>
    <w:rsid w:val="00222CC5"/>
    <w:rsid w:val="0022516D"/>
    <w:rsid w:val="0022792E"/>
    <w:rsid w:val="00230F71"/>
    <w:rsid w:val="00244333"/>
    <w:rsid w:val="002529C6"/>
    <w:rsid w:val="00253EBC"/>
    <w:rsid w:val="002649B7"/>
    <w:rsid w:val="002652C2"/>
    <w:rsid w:val="0026643F"/>
    <w:rsid w:val="00266EDF"/>
    <w:rsid w:val="002724C0"/>
    <w:rsid w:val="00275458"/>
    <w:rsid w:val="002908E3"/>
    <w:rsid w:val="00291982"/>
    <w:rsid w:val="00292279"/>
    <w:rsid w:val="00295894"/>
    <w:rsid w:val="002A4C05"/>
    <w:rsid w:val="002A6B70"/>
    <w:rsid w:val="002B37FE"/>
    <w:rsid w:val="002B47A1"/>
    <w:rsid w:val="002C66FB"/>
    <w:rsid w:val="002C758E"/>
    <w:rsid w:val="002D404A"/>
    <w:rsid w:val="002D75AF"/>
    <w:rsid w:val="002E1A9B"/>
    <w:rsid w:val="002E65A3"/>
    <w:rsid w:val="002F32E1"/>
    <w:rsid w:val="00301807"/>
    <w:rsid w:val="003109C4"/>
    <w:rsid w:val="003112F3"/>
    <w:rsid w:val="00312360"/>
    <w:rsid w:val="0031387E"/>
    <w:rsid w:val="00317E16"/>
    <w:rsid w:val="003267ED"/>
    <w:rsid w:val="00327211"/>
    <w:rsid w:val="00335CC2"/>
    <w:rsid w:val="00346D47"/>
    <w:rsid w:val="00350F7A"/>
    <w:rsid w:val="00351C9F"/>
    <w:rsid w:val="00351E98"/>
    <w:rsid w:val="00354655"/>
    <w:rsid w:val="00355DF3"/>
    <w:rsid w:val="003568DE"/>
    <w:rsid w:val="003606F1"/>
    <w:rsid w:val="00361D0F"/>
    <w:rsid w:val="00371FA0"/>
    <w:rsid w:val="003752E3"/>
    <w:rsid w:val="00381CE6"/>
    <w:rsid w:val="003820EA"/>
    <w:rsid w:val="00382F45"/>
    <w:rsid w:val="003832A4"/>
    <w:rsid w:val="0038485A"/>
    <w:rsid w:val="003942C7"/>
    <w:rsid w:val="003A0CB1"/>
    <w:rsid w:val="003A4606"/>
    <w:rsid w:val="003A7286"/>
    <w:rsid w:val="003A787A"/>
    <w:rsid w:val="003B02A2"/>
    <w:rsid w:val="003B41D5"/>
    <w:rsid w:val="003B41E0"/>
    <w:rsid w:val="003B6DA9"/>
    <w:rsid w:val="003C1F9A"/>
    <w:rsid w:val="003E1849"/>
    <w:rsid w:val="003E6129"/>
    <w:rsid w:val="003F58F4"/>
    <w:rsid w:val="003F6F5C"/>
    <w:rsid w:val="00400C0E"/>
    <w:rsid w:val="00401CAF"/>
    <w:rsid w:val="004057CD"/>
    <w:rsid w:val="00407CBB"/>
    <w:rsid w:val="0041637C"/>
    <w:rsid w:val="00416A8B"/>
    <w:rsid w:val="00416F4D"/>
    <w:rsid w:val="00430104"/>
    <w:rsid w:val="0044343B"/>
    <w:rsid w:val="00443FF3"/>
    <w:rsid w:val="00446925"/>
    <w:rsid w:val="00457816"/>
    <w:rsid w:val="00460C59"/>
    <w:rsid w:val="004613FF"/>
    <w:rsid w:val="00461C33"/>
    <w:rsid w:val="00467D18"/>
    <w:rsid w:val="00467F63"/>
    <w:rsid w:val="0047059F"/>
    <w:rsid w:val="00480179"/>
    <w:rsid w:val="004843B4"/>
    <w:rsid w:val="00486171"/>
    <w:rsid w:val="004967D8"/>
    <w:rsid w:val="004A4529"/>
    <w:rsid w:val="004B0254"/>
    <w:rsid w:val="004B400D"/>
    <w:rsid w:val="004C1214"/>
    <w:rsid w:val="004C21DC"/>
    <w:rsid w:val="004D6CCC"/>
    <w:rsid w:val="004E3E52"/>
    <w:rsid w:val="004E6F9B"/>
    <w:rsid w:val="004E797A"/>
    <w:rsid w:val="004F48FB"/>
    <w:rsid w:val="0050339C"/>
    <w:rsid w:val="005062E7"/>
    <w:rsid w:val="00506AE3"/>
    <w:rsid w:val="005111D3"/>
    <w:rsid w:val="00511E4C"/>
    <w:rsid w:val="0051284A"/>
    <w:rsid w:val="00512A8D"/>
    <w:rsid w:val="005240A3"/>
    <w:rsid w:val="00527283"/>
    <w:rsid w:val="005302AF"/>
    <w:rsid w:val="005322DD"/>
    <w:rsid w:val="005418D6"/>
    <w:rsid w:val="00542450"/>
    <w:rsid w:val="005524E3"/>
    <w:rsid w:val="00557108"/>
    <w:rsid w:val="0056198F"/>
    <w:rsid w:val="00562937"/>
    <w:rsid w:val="005719FC"/>
    <w:rsid w:val="00571B51"/>
    <w:rsid w:val="00582EA7"/>
    <w:rsid w:val="005844E6"/>
    <w:rsid w:val="00585A5C"/>
    <w:rsid w:val="005869A6"/>
    <w:rsid w:val="00586EDA"/>
    <w:rsid w:val="005A3699"/>
    <w:rsid w:val="005A599B"/>
    <w:rsid w:val="005B0D20"/>
    <w:rsid w:val="005C4675"/>
    <w:rsid w:val="005D7264"/>
    <w:rsid w:val="005E5DB1"/>
    <w:rsid w:val="005E6976"/>
    <w:rsid w:val="006010A5"/>
    <w:rsid w:val="00601B90"/>
    <w:rsid w:val="00602238"/>
    <w:rsid w:val="00606EBB"/>
    <w:rsid w:val="0062122D"/>
    <w:rsid w:val="00622785"/>
    <w:rsid w:val="006317E2"/>
    <w:rsid w:val="00631B6C"/>
    <w:rsid w:val="00632982"/>
    <w:rsid w:val="006336D8"/>
    <w:rsid w:val="00635AD6"/>
    <w:rsid w:val="00653F53"/>
    <w:rsid w:val="006568EB"/>
    <w:rsid w:val="00657119"/>
    <w:rsid w:val="00661AAF"/>
    <w:rsid w:val="006713E1"/>
    <w:rsid w:val="006716CB"/>
    <w:rsid w:val="006750A0"/>
    <w:rsid w:val="00676678"/>
    <w:rsid w:val="0068730A"/>
    <w:rsid w:val="006919AB"/>
    <w:rsid w:val="00695706"/>
    <w:rsid w:val="006B1EBC"/>
    <w:rsid w:val="006B45A3"/>
    <w:rsid w:val="006C51FE"/>
    <w:rsid w:val="006D1834"/>
    <w:rsid w:val="006D73C6"/>
    <w:rsid w:val="006E0069"/>
    <w:rsid w:val="006E7E9D"/>
    <w:rsid w:val="00702DEF"/>
    <w:rsid w:val="00726DD5"/>
    <w:rsid w:val="00734071"/>
    <w:rsid w:val="007402A3"/>
    <w:rsid w:val="0074234D"/>
    <w:rsid w:val="00761FFD"/>
    <w:rsid w:val="00764F92"/>
    <w:rsid w:val="0077058B"/>
    <w:rsid w:val="00773D26"/>
    <w:rsid w:val="007818A2"/>
    <w:rsid w:val="00783169"/>
    <w:rsid w:val="00784229"/>
    <w:rsid w:val="00786C05"/>
    <w:rsid w:val="00787ECE"/>
    <w:rsid w:val="007919B3"/>
    <w:rsid w:val="00795081"/>
    <w:rsid w:val="00797693"/>
    <w:rsid w:val="007A04A9"/>
    <w:rsid w:val="007A1C8F"/>
    <w:rsid w:val="007A7221"/>
    <w:rsid w:val="007A78E1"/>
    <w:rsid w:val="007C26BE"/>
    <w:rsid w:val="007C2FE6"/>
    <w:rsid w:val="007C799F"/>
    <w:rsid w:val="007D055A"/>
    <w:rsid w:val="007D3475"/>
    <w:rsid w:val="007E031B"/>
    <w:rsid w:val="007E23E8"/>
    <w:rsid w:val="007E460C"/>
    <w:rsid w:val="007E48DD"/>
    <w:rsid w:val="007E67C9"/>
    <w:rsid w:val="007E70D7"/>
    <w:rsid w:val="007E7C2D"/>
    <w:rsid w:val="007F6C96"/>
    <w:rsid w:val="00802120"/>
    <w:rsid w:val="0080651F"/>
    <w:rsid w:val="0081268F"/>
    <w:rsid w:val="008227BB"/>
    <w:rsid w:val="0082484D"/>
    <w:rsid w:val="00827FF3"/>
    <w:rsid w:val="00834C2B"/>
    <w:rsid w:val="00845563"/>
    <w:rsid w:val="00860B28"/>
    <w:rsid w:val="0086392E"/>
    <w:rsid w:val="008676E0"/>
    <w:rsid w:val="00876D86"/>
    <w:rsid w:val="00877D7B"/>
    <w:rsid w:val="00886FD6"/>
    <w:rsid w:val="008901A8"/>
    <w:rsid w:val="008947A1"/>
    <w:rsid w:val="008B26FA"/>
    <w:rsid w:val="008B6DF5"/>
    <w:rsid w:val="008C79EB"/>
    <w:rsid w:val="008D4F3A"/>
    <w:rsid w:val="008D77D7"/>
    <w:rsid w:val="008E21C0"/>
    <w:rsid w:val="008F0BED"/>
    <w:rsid w:val="008F6C48"/>
    <w:rsid w:val="00902A51"/>
    <w:rsid w:val="009050F1"/>
    <w:rsid w:val="00907B78"/>
    <w:rsid w:val="00916916"/>
    <w:rsid w:val="00921696"/>
    <w:rsid w:val="00926DFD"/>
    <w:rsid w:val="009310FA"/>
    <w:rsid w:val="0093134F"/>
    <w:rsid w:val="009327EF"/>
    <w:rsid w:val="00940D94"/>
    <w:rsid w:val="00945E80"/>
    <w:rsid w:val="00952847"/>
    <w:rsid w:val="00957944"/>
    <w:rsid w:val="00960463"/>
    <w:rsid w:val="00963198"/>
    <w:rsid w:val="00963B6F"/>
    <w:rsid w:val="0096490F"/>
    <w:rsid w:val="00966D36"/>
    <w:rsid w:val="00974A6F"/>
    <w:rsid w:val="00976883"/>
    <w:rsid w:val="00982733"/>
    <w:rsid w:val="009879F0"/>
    <w:rsid w:val="009913CD"/>
    <w:rsid w:val="00991687"/>
    <w:rsid w:val="00993A3D"/>
    <w:rsid w:val="00997E40"/>
    <w:rsid w:val="009A13AA"/>
    <w:rsid w:val="009B09F1"/>
    <w:rsid w:val="009B0D5F"/>
    <w:rsid w:val="009B27E4"/>
    <w:rsid w:val="009B4029"/>
    <w:rsid w:val="009B6FE8"/>
    <w:rsid w:val="009D14E3"/>
    <w:rsid w:val="009D38AA"/>
    <w:rsid w:val="009D4886"/>
    <w:rsid w:val="009D608F"/>
    <w:rsid w:val="009E1FB2"/>
    <w:rsid w:val="009E48C9"/>
    <w:rsid w:val="009E4DC4"/>
    <w:rsid w:val="009F7AD3"/>
    <w:rsid w:val="00A10057"/>
    <w:rsid w:val="00A10D30"/>
    <w:rsid w:val="00A10D92"/>
    <w:rsid w:val="00A1688D"/>
    <w:rsid w:val="00A21302"/>
    <w:rsid w:val="00A24A6F"/>
    <w:rsid w:val="00A2597F"/>
    <w:rsid w:val="00A27DC2"/>
    <w:rsid w:val="00A317AD"/>
    <w:rsid w:val="00A462DA"/>
    <w:rsid w:val="00A51124"/>
    <w:rsid w:val="00A55728"/>
    <w:rsid w:val="00A66304"/>
    <w:rsid w:val="00A760FA"/>
    <w:rsid w:val="00A763D1"/>
    <w:rsid w:val="00A8040D"/>
    <w:rsid w:val="00A926E4"/>
    <w:rsid w:val="00A96F91"/>
    <w:rsid w:val="00A97D54"/>
    <w:rsid w:val="00AB12BB"/>
    <w:rsid w:val="00AB4782"/>
    <w:rsid w:val="00AB5839"/>
    <w:rsid w:val="00AC274B"/>
    <w:rsid w:val="00AC5F9B"/>
    <w:rsid w:val="00AD7EF2"/>
    <w:rsid w:val="00AE3D8E"/>
    <w:rsid w:val="00AE414A"/>
    <w:rsid w:val="00AF0482"/>
    <w:rsid w:val="00AF1D8F"/>
    <w:rsid w:val="00B0084F"/>
    <w:rsid w:val="00B06689"/>
    <w:rsid w:val="00B173EE"/>
    <w:rsid w:val="00B20CB1"/>
    <w:rsid w:val="00B217F7"/>
    <w:rsid w:val="00B2684F"/>
    <w:rsid w:val="00B27D0A"/>
    <w:rsid w:val="00B31FB0"/>
    <w:rsid w:val="00B40383"/>
    <w:rsid w:val="00B43225"/>
    <w:rsid w:val="00B44218"/>
    <w:rsid w:val="00B52B46"/>
    <w:rsid w:val="00B5405B"/>
    <w:rsid w:val="00B56918"/>
    <w:rsid w:val="00B633A5"/>
    <w:rsid w:val="00B63E52"/>
    <w:rsid w:val="00B74757"/>
    <w:rsid w:val="00B755DB"/>
    <w:rsid w:val="00B778CE"/>
    <w:rsid w:val="00B80AC3"/>
    <w:rsid w:val="00B87049"/>
    <w:rsid w:val="00B92277"/>
    <w:rsid w:val="00BA1D1B"/>
    <w:rsid w:val="00BA5443"/>
    <w:rsid w:val="00BA7E29"/>
    <w:rsid w:val="00BB1139"/>
    <w:rsid w:val="00BC08C5"/>
    <w:rsid w:val="00BC27A1"/>
    <w:rsid w:val="00BC44A0"/>
    <w:rsid w:val="00BC5318"/>
    <w:rsid w:val="00BD6E8B"/>
    <w:rsid w:val="00BD6EAF"/>
    <w:rsid w:val="00BD7D6B"/>
    <w:rsid w:val="00BE365F"/>
    <w:rsid w:val="00BE63F6"/>
    <w:rsid w:val="00BF29B6"/>
    <w:rsid w:val="00BF3323"/>
    <w:rsid w:val="00C01CD8"/>
    <w:rsid w:val="00C07D73"/>
    <w:rsid w:val="00C13A02"/>
    <w:rsid w:val="00C22147"/>
    <w:rsid w:val="00C2323B"/>
    <w:rsid w:val="00C25679"/>
    <w:rsid w:val="00C26707"/>
    <w:rsid w:val="00C3682E"/>
    <w:rsid w:val="00C50CEC"/>
    <w:rsid w:val="00C516E1"/>
    <w:rsid w:val="00C52C94"/>
    <w:rsid w:val="00C60289"/>
    <w:rsid w:val="00C62505"/>
    <w:rsid w:val="00C640E0"/>
    <w:rsid w:val="00C65627"/>
    <w:rsid w:val="00C668A4"/>
    <w:rsid w:val="00C82CE9"/>
    <w:rsid w:val="00C933E4"/>
    <w:rsid w:val="00C969D1"/>
    <w:rsid w:val="00CA3501"/>
    <w:rsid w:val="00CB18A7"/>
    <w:rsid w:val="00CB1EA5"/>
    <w:rsid w:val="00CB3710"/>
    <w:rsid w:val="00CC1C57"/>
    <w:rsid w:val="00CC5AD9"/>
    <w:rsid w:val="00CC74C5"/>
    <w:rsid w:val="00CD13E3"/>
    <w:rsid w:val="00CD4489"/>
    <w:rsid w:val="00CD4F5E"/>
    <w:rsid w:val="00CD66F1"/>
    <w:rsid w:val="00CE06C3"/>
    <w:rsid w:val="00CE3E0C"/>
    <w:rsid w:val="00CE4883"/>
    <w:rsid w:val="00CF46A1"/>
    <w:rsid w:val="00CF561D"/>
    <w:rsid w:val="00D0101D"/>
    <w:rsid w:val="00D02911"/>
    <w:rsid w:val="00D05D16"/>
    <w:rsid w:val="00D06673"/>
    <w:rsid w:val="00D110AA"/>
    <w:rsid w:val="00D23F24"/>
    <w:rsid w:val="00D249F4"/>
    <w:rsid w:val="00D25897"/>
    <w:rsid w:val="00D33E18"/>
    <w:rsid w:val="00D34521"/>
    <w:rsid w:val="00D37161"/>
    <w:rsid w:val="00D43766"/>
    <w:rsid w:val="00D43B81"/>
    <w:rsid w:val="00D440A1"/>
    <w:rsid w:val="00D50DCC"/>
    <w:rsid w:val="00D67EDB"/>
    <w:rsid w:val="00D73BEC"/>
    <w:rsid w:val="00D77BA7"/>
    <w:rsid w:val="00D800B8"/>
    <w:rsid w:val="00D90EAA"/>
    <w:rsid w:val="00D93187"/>
    <w:rsid w:val="00D94457"/>
    <w:rsid w:val="00D97A38"/>
    <w:rsid w:val="00DA030C"/>
    <w:rsid w:val="00DA5C90"/>
    <w:rsid w:val="00DB092B"/>
    <w:rsid w:val="00DB540A"/>
    <w:rsid w:val="00DC5E17"/>
    <w:rsid w:val="00DD21ED"/>
    <w:rsid w:val="00DE4E66"/>
    <w:rsid w:val="00DF1715"/>
    <w:rsid w:val="00DF1D3B"/>
    <w:rsid w:val="00DF1DA4"/>
    <w:rsid w:val="00DF36C4"/>
    <w:rsid w:val="00E00D54"/>
    <w:rsid w:val="00E00DC9"/>
    <w:rsid w:val="00E00DF3"/>
    <w:rsid w:val="00E04074"/>
    <w:rsid w:val="00E07647"/>
    <w:rsid w:val="00E20B54"/>
    <w:rsid w:val="00E319EA"/>
    <w:rsid w:val="00E5371E"/>
    <w:rsid w:val="00E53C26"/>
    <w:rsid w:val="00E54B12"/>
    <w:rsid w:val="00E60D22"/>
    <w:rsid w:val="00E61861"/>
    <w:rsid w:val="00E63CC9"/>
    <w:rsid w:val="00E6541F"/>
    <w:rsid w:val="00E80801"/>
    <w:rsid w:val="00E833F6"/>
    <w:rsid w:val="00E85188"/>
    <w:rsid w:val="00E870E4"/>
    <w:rsid w:val="00E90DA9"/>
    <w:rsid w:val="00E93BAA"/>
    <w:rsid w:val="00E93F10"/>
    <w:rsid w:val="00EA09B5"/>
    <w:rsid w:val="00EA45A9"/>
    <w:rsid w:val="00EA4B5D"/>
    <w:rsid w:val="00EB0767"/>
    <w:rsid w:val="00EB17DE"/>
    <w:rsid w:val="00EB4052"/>
    <w:rsid w:val="00ED71BE"/>
    <w:rsid w:val="00ED7DF4"/>
    <w:rsid w:val="00EE293E"/>
    <w:rsid w:val="00EE4609"/>
    <w:rsid w:val="00EF63F7"/>
    <w:rsid w:val="00F05C97"/>
    <w:rsid w:val="00F067D0"/>
    <w:rsid w:val="00F140CB"/>
    <w:rsid w:val="00F152C8"/>
    <w:rsid w:val="00F24A97"/>
    <w:rsid w:val="00F312D3"/>
    <w:rsid w:val="00F43E6B"/>
    <w:rsid w:val="00F46AF4"/>
    <w:rsid w:val="00F53ABD"/>
    <w:rsid w:val="00F63CE8"/>
    <w:rsid w:val="00F64E1C"/>
    <w:rsid w:val="00F70A1D"/>
    <w:rsid w:val="00F73BC5"/>
    <w:rsid w:val="00F90BA3"/>
    <w:rsid w:val="00F9663C"/>
    <w:rsid w:val="00FA12B1"/>
    <w:rsid w:val="00FA4E71"/>
    <w:rsid w:val="00FB16E5"/>
    <w:rsid w:val="00FB37DF"/>
    <w:rsid w:val="00FB3869"/>
    <w:rsid w:val="00FC62F9"/>
    <w:rsid w:val="00FD57AC"/>
    <w:rsid w:val="00FD5D7D"/>
    <w:rsid w:val="00FD5F33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7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60C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6F9B"/>
    <w:pPr>
      <w:jc w:val="both"/>
    </w:pPr>
  </w:style>
  <w:style w:type="character" w:customStyle="1" w:styleId="20">
    <w:name w:val="Основной текст 2 Знак"/>
    <w:link w:val="2"/>
    <w:rsid w:val="004E6F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460C5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uiPriority w:val="99"/>
    <w:semiHidden/>
    <w:unhideWhenUsed/>
    <w:rsid w:val="00B8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7D1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g?base=LAW;n=103168;fld=134;dst=8" TargetMode="External"/><Relationship Id="rId18" Type="http://schemas.openxmlformats.org/officeDocument/2006/relationships/hyperlink" Target="consultantplus://offline/reg?base=RLAW086;n=50700;fld=134;dst=1011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g?base=LAW;n=106162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g?base=LAW;n=119150;fld=134" TargetMode="External"/><Relationship Id="rId20" Type="http://schemas.openxmlformats.org/officeDocument/2006/relationships/hyperlink" Target="file:///\\Domino1\Everyone\&#1055;&#1086;&#1089;&#1090;&#1072;&#1085;&#1086;&#1074;&#1083;&#1077;&#1085;&#1080;&#1103;\2012%20&#1075;&#1086;&#1076;\Users\zhukovauv\Desktop\&#1090;&#1072;&#1088;&#1080;&#1092;%20&#1076;&#1083;&#1103;%20&#1085;&#1072;&#1089;&#1077;&#1083;&#1077;&#1085;&#1080;&#1103;\&#1090;&#1072;&#1088;&#1080;&#1092;%20&#1085;&#1072;&#1089;&#1077;&#1083;&#1077;&#1085;%202012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g?base=LAW;n=116695;fld=134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\\Domino1\Everyone\&#1055;&#1086;&#1089;&#1090;&#1072;&#1085;&#1086;&#1074;&#1083;&#1077;&#1085;&#1080;&#1103;\2012%20&#1075;&#1086;&#1076;\Users\zhukovauv\Desktop\&#1090;&#1072;&#1088;&#1080;&#1092;%20&#1076;&#1083;&#1103;%20&#1085;&#1072;&#1089;&#1077;&#1083;&#1077;&#1085;&#1080;&#1103;\&#1090;&#1072;&#1088;&#1080;&#1092;%20&#1085;&#1072;&#1089;&#1077;&#1083;&#1077;&#1085;%202012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g?base=LAW;n=116938;fld=134;dst=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1CFA9BC4ED846959254F4B58CF7DE" ma:contentTypeVersion="7" ma:contentTypeDescription="Создание документа." ma:contentTypeScope="" ma:versionID="aa1dade1d9c82a6ce51bb5b35687115c">
  <xsd:schema xmlns:xsd="http://www.w3.org/2001/XMLSchema" xmlns:xs="http://www.w3.org/2001/XMLSchema" xmlns:p="http://schemas.microsoft.com/office/2006/metadata/properties" xmlns:ns2="77eda715-1374-4710-94f2-149b1dd3debb" targetNamespace="http://schemas.microsoft.com/office/2006/metadata/properties" ma:root="true" ma:fieldsID="57685cd57e6af954619a8a7eaf615e68" ns2:_="">
    <xsd:import namespace="77eda715-1374-4710-94f2-149b1dd3debb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_x044b_" minOccurs="0"/>
                <xsd:element ref="ns2:_x0422__x0438__x043f__x0020__x043f__x0440__x0438__x043a__x0430__x0437__x0430__x0020__x0434__x0435__x043f__x0430__x0440__x0442__x0430__x043c__x0435__x043d__x0442__x0430_" minOccurs="0"/>
                <xsd:element ref="ns2:_x0414__x0430__x0442__x0430__x0020__x0440__x0435__x0433__x0438__x0441__x0442__x0440__x0430__x0446__x0438__x0438_" minOccurs="0"/>
                <xsd:element ref="ns2:_x0414__x0430__x0442__x0430__x0020__x0438__x0020__x2116__x0020__x043f__x0443__x0431__x043b__x0438__x043a__x0430__x0446__x0438__x0438__x002c__x0020__x0432__x0441__x0442__x0443__x043f__x043b__x0435__x043d__x0438__x0435__x0020__x0432__x0020__x0441__x0438__x043b__x0443_" minOccurs="0"/>
                <xsd:element ref="ns2:_x041f__x043e__x0440__x044f__x0434__x043e__x043a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a715-1374-4710-94f2-149b1dd3deb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_x044b_" ma:index="3" nillable="true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f__x0440__x0438__x043a__x0430__x0437__x0430__x0020__x0434__x0435__x043f__x0430__x0440__x0442__x0430__x043c__x0435__x043d__x0442__x0430_" ma:index="4" nillable="true" ma:displayName="Тип приказа департамента" ma:list="{fe10a53f-6817-401e-a954-349dcb63fbda}" ma:internalName="_x0422__x0438__x043f__x0020__x043f__x0440__x0438__x043a__x0430__x0437__x0430__x0020__x0434__x0435__x043f__x0430__x0440__x0442__x0430__x043c__x0435__x043d__x0442__x0430_" ma:showField="Title">
      <xsd:simpleType>
        <xsd:restriction base="dms:Lookup"/>
      </xsd:simpleType>
    </xsd:element>
    <xsd:element name="_x0414__x0430__x0442__x0430__x0020__x0440__x0435__x0433__x0438__x0441__x0442__x0440__x0430__x0446__x0438__x0438_" ma:index="11" nillable="true" ma:displayName="Дата, № регистрации в ГПУ" ma:internalName="_x0414__x0430__x0442__x0430__x0020__x0440__x0435__x0433__x0438__x0441__x0442__x0440__x0430__x0446__x0438__x0438_">
      <xsd:simpleType>
        <xsd:restriction base="dms:Text">
          <xsd:maxLength value="255"/>
        </xsd:restriction>
      </xsd:simpleType>
    </xsd:element>
    <xsd:element name="_x0414__x0430__x0442__x0430__x0020__x0438__x0020__x2116__x0020__x043f__x0443__x0431__x043b__x0438__x043a__x0430__x0446__x0438__x0438__x002c__x0020__x0432__x0441__x0442__x0443__x043f__x043b__x0435__x043d__x0438__x0435__x0020__x0432__x0020__x0441__x0438__x043b__x0443_" ma:index="12" nillable="true" ma:displayName="Дата, № опубликования в газете" ma:internalName="_x0414__x0430__x0442__x0430__x0020__x0438__x0020__x2116__x0020__x043f__x0443__x0431__x043b__x0438__x043a__x0430__x0446__x0438__x0438__x002c__x0020__x0432__x0441__x0442__x0443__x043f__x043b__x0435__x043d__x0438__x0435__x0020__x0432__x0020__x0441__x0438__x043b__x0443_">
      <xsd:simpleType>
        <xsd:restriction base="dms:Text">
          <xsd:maxLength value="255"/>
        </xsd:restriction>
      </xsd:simpleType>
    </xsd:element>
    <xsd:element name="_x041f__x043e__x0440__x044f__x0434__x043e__x043a_" ma:index="13" ma:displayName="Порядок" ma:internalName="_x041f__x043e__x0440__x044f__x0434__x043e__x04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3__x043e__x0434__x044b_ xmlns="77eda715-1374-4710-94f2-149b1dd3debb">2</_x0413__x043e__x0434__x044b_>
    <_x041e__x043f__x0438__x0441__x0430__x043d__x0438__x0435_ xmlns="77eda715-1374-4710-94f2-149b1dd3debb">Об установлении цен (тарифов) на электрическую энергию для населения и приравненным к нему категориям потребителей по Ярославской области на 2012 год</_x041e__x043f__x0438__x0441__x0430__x043d__x0438__x0435_>
    <_x0422__x0438__x043f__x0020__x043f__x0440__x0438__x043a__x0430__x0437__x0430__x0020__x0434__x0435__x043f__x0430__x0440__x0442__x0430__x043c__x0435__x043d__x0442__x0430_ xmlns="77eda715-1374-4710-94f2-149b1dd3debb">6</_x0422__x0438__x043f__x0020__x043f__x0440__x0438__x043a__x0430__x0437__x0430__x0020__x0434__x0435__x043f__x0430__x0440__x0442__x0430__x043c__x0435__x043d__x0442__x0430_>
    <_x0414__x0430__x0442__x0430__x0020__x0438__x0020__x2116__x0020__x043f__x0443__x0431__x043b__x0438__x043a__x0430__x0446__x0438__x0438__x002c__x0020__x0432__x0441__x0442__x0443__x043f__x043b__x0435__x043d__x0438__x0435__x0020__x0432__x0020__x0441__x0438__x043b__x0443_ xmlns="77eda715-1374-4710-94f2-149b1dd3debb" xsi:nil="true"/>
    <_x0414__x0430__x0442__x0430__x0020__x0440__x0435__x0433__x0438__x0441__x0442__x0440__x0430__x0446__x0438__x0438_ xmlns="77eda715-1374-4710-94f2-149b1dd3debb">28.11.2011 №01-2135</_x0414__x0430__x0442__x0430__x0020__x0440__x0435__x0433__x0438__x0441__x0442__x0440__x0430__x0446__x0438__x0438_>
    <_x041f__x043e__x0440__x044f__x0434__x043e__x043a_ xmlns="77eda715-1374-4710-94f2-149b1dd3debb">074</_x041f__x043e__x0440__x044f__x0434__x043e__x043a_>
  </documentManagement>
</p:properties>
</file>

<file path=customXml/itemProps1.xml><?xml version="1.0" encoding="utf-8"?>
<ds:datastoreItem xmlns:ds="http://schemas.openxmlformats.org/officeDocument/2006/customXml" ds:itemID="{EF953265-E855-4DA0-A160-CF5A3510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a715-1374-4710-94f2-149b1dd3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FDBB5-E403-47C1-A072-558DCCD2F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1EFF-736E-4946-B7D7-535973B4B7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23F5FA-99E6-49D0-8C22-44851E4DA2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Links>
    <vt:vector size="48" baseType="variant">
      <vt:variant>
        <vt:i4>69074993</vt:i4>
      </vt:variant>
      <vt:variant>
        <vt:i4>24</vt:i4>
      </vt:variant>
      <vt:variant>
        <vt:i4>0</vt:i4>
      </vt:variant>
      <vt:variant>
        <vt:i4>5</vt:i4>
      </vt:variant>
      <vt:variant>
        <vt:lpwstr>../Users/zhukovauv/Desktop/тариф для населения/тариф населен 2012.xlsx</vt:lpwstr>
      </vt:variant>
      <vt:variant>
        <vt:lpwstr>RANGE!sub_161021</vt:lpwstr>
      </vt:variant>
      <vt:variant>
        <vt:i4>69074993</vt:i4>
      </vt:variant>
      <vt:variant>
        <vt:i4>21</vt:i4>
      </vt:variant>
      <vt:variant>
        <vt:i4>0</vt:i4>
      </vt:variant>
      <vt:variant>
        <vt:i4>5</vt:i4>
      </vt:variant>
      <vt:variant>
        <vt:lpwstr>../Users/zhukovauv/Desktop/тариф для населения/тариф населен 2012.xlsx</vt:lpwstr>
      </vt:variant>
      <vt:variant>
        <vt:lpwstr>RANGE!sub_161021</vt:lpwstr>
      </vt:variant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consultantplus://offline/reg?base=RLAW086;n=50700;fld=134;dst=101172</vt:lpwstr>
      </vt:variant>
      <vt:variant>
        <vt:lpwstr/>
      </vt:variant>
      <vt:variant>
        <vt:i4>3801210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consultantplus://offline/reg?base=LAW;n=106162;fld=134</vt:lpwstr>
      </vt:variant>
      <vt:variant>
        <vt:lpwstr/>
      </vt:variant>
      <vt:variant>
        <vt:i4>3735670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consultantplus://offline/reg?base=LAW;n=119150;fld=134</vt:lpwstr>
      </vt:variant>
      <vt:variant>
        <vt:lpwstr/>
      </vt:variant>
      <vt:variant>
        <vt:i4>3866741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consultantplus://offline/reg?base=LAW;n=116695;fld=134</vt:lpwstr>
      </vt:variant>
      <vt:variant>
        <vt:lpwstr/>
      </vt:variant>
      <vt:variant>
        <vt:i4>1769482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consultantplus://offline/reg?base=LAW;n=116938;fld=134;dst=22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consultantplus://offline/reg?base=LAW;n=103168;fld=134;dst=8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gorodnichevavi</dc:creator>
  <cp:keywords/>
  <dc:description/>
  <cp:lastModifiedBy> </cp:lastModifiedBy>
  <cp:revision>2</cp:revision>
  <cp:lastPrinted>2011-11-28T10:21:00Z</cp:lastPrinted>
  <dcterms:created xsi:type="dcterms:W3CDTF">2012-01-16T12:16:00Z</dcterms:created>
  <dcterms:modified xsi:type="dcterms:W3CDTF">2012-01-16T12:16:00Z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и № публикации, вступление в силу">
    <vt:lpwstr>30.11.2011 №99</vt:lpwstr>
  </property>
  <property fmtid="{D5CDD505-2E9C-101B-9397-08002B2CF9AE}" pid="3" name="Order">
    <vt:lpwstr>12000.0000000000</vt:lpwstr>
  </property>
</Properties>
</file>