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B" w:rsidRDefault="00816F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6FDB" w:rsidRDefault="00816FDB">
      <w:pPr>
        <w:pStyle w:val="ConsPlusNormal"/>
        <w:jc w:val="both"/>
        <w:outlineLvl w:val="0"/>
      </w:pPr>
    </w:p>
    <w:p w:rsidR="00816FDB" w:rsidRDefault="00816FDB">
      <w:pPr>
        <w:pStyle w:val="ConsPlusTitle"/>
        <w:jc w:val="center"/>
        <w:outlineLvl w:val="0"/>
      </w:pPr>
      <w:r>
        <w:t>КОМИТЕТ ПО ТАРИФАМ И ЭНЕРГЕТИКЕ ПСКОВСКОЙ ОБЛАСТИ</w:t>
      </w:r>
    </w:p>
    <w:p w:rsidR="00816FDB" w:rsidRDefault="00816FDB">
      <w:pPr>
        <w:pStyle w:val="ConsPlusTitle"/>
        <w:jc w:val="both"/>
      </w:pPr>
    </w:p>
    <w:p w:rsidR="00816FDB" w:rsidRDefault="00816FDB">
      <w:pPr>
        <w:pStyle w:val="ConsPlusTitle"/>
        <w:jc w:val="center"/>
      </w:pPr>
      <w:r>
        <w:t>ПРИКАЗ</w:t>
      </w:r>
    </w:p>
    <w:p w:rsidR="00816FDB" w:rsidRDefault="00816FDB">
      <w:pPr>
        <w:pStyle w:val="ConsPlusTitle"/>
        <w:jc w:val="center"/>
      </w:pPr>
      <w:r>
        <w:t>от 27 ноября 2023 г. N 124-э</w:t>
      </w:r>
    </w:p>
    <w:p w:rsidR="00816FDB" w:rsidRDefault="00816FDB">
      <w:pPr>
        <w:pStyle w:val="ConsPlusTitle"/>
        <w:jc w:val="both"/>
      </w:pPr>
    </w:p>
    <w:p w:rsidR="00816FDB" w:rsidRDefault="00816FDB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816FDB" w:rsidRDefault="00816FDB">
      <w:pPr>
        <w:pStyle w:val="ConsPlusTitle"/>
        <w:jc w:val="center"/>
      </w:pPr>
      <w:r>
        <w:t>ДЛЯ НАСЕЛЕНИЯ И ПРИРАВНЕННЫХ К НЕМУ КАТЕГОРИЙ</w:t>
      </w:r>
    </w:p>
    <w:p w:rsidR="00816FDB" w:rsidRDefault="00816FDB">
      <w:pPr>
        <w:pStyle w:val="ConsPlusTitle"/>
        <w:jc w:val="center"/>
      </w:pPr>
      <w:r>
        <w:t>ПОТРЕБИТЕЛЕЙ ПСКОВСКОЙ ОБЛАСТИ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27 мая 2022 г.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>
        <w:r>
          <w:rPr>
            <w:color w:val="0000FF"/>
          </w:rPr>
          <w:t>Положением</w:t>
        </w:r>
      </w:hyperlink>
      <w:r>
        <w:t xml:space="preserve"> о Комитете по тарифам и энергетике Псковской области, утвержденным постановлением Администрации Псковской области от 29 марта 2011 г. N 110, и на основании протокола заседания коллегии Комитета по тарифам и энергетике Псковской области от 27 ноября 2023 г. N 38 приказываю:</w:t>
      </w:r>
    </w:p>
    <w:p w:rsidR="00816FDB" w:rsidRDefault="00816FDB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01 января 2024 г. по 31 декабря 2024 г. </w:t>
      </w:r>
      <w:hyperlink w:anchor="P28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Псковской области согласно приложению к настоящему приказу.</w:t>
      </w:r>
    </w:p>
    <w:p w:rsidR="00816FDB" w:rsidRDefault="00816FDB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опубликования, применяется к правоотношениям, возникшим с 01 января 2024 г., и действует до 31 декабря 2024 г.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right"/>
      </w:pPr>
      <w:r>
        <w:t>Председатель Комитета по тарифам и</w:t>
      </w:r>
    </w:p>
    <w:p w:rsidR="00816FDB" w:rsidRDefault="00816FDB">
      <w:pPr>
        <w:pStyle w:val="ConsPlusNormal"/>
        <w:jc w:val="right"/>
      </w:pPr>
      <w:r>
        <w:t>энергетике Псковской области</w:t>
      </w:r>
    </w:p>
    <w:p w:rsidR="00816FDB" w:rsidRDefault="00816FDB">
      <w:pPr>
        <w:pStyle w:val="ConsPlusNormal"/>
        <w:jc w:val="right"/>
      </w:pPr>
      <w:r>
        <w:t>Е.В.ПИЛИПЕНКО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right"/>
        <w:outlineLvl w:val="0"/>
      </w:pPr>
      <w:r>
        <w:t>Приложение</w:t>
      </w:r>
    </w:p>
    <w:p w:rsidR="00816FDB" w:rsidRDefault="00816FDB">
      <w:pPr>
        <w:pStyle w:val="ConsPlusNormal"/>
        <w:jc w:val="right"/>
      </w:pPr>
      <w:r>
        <w:t>к приказу</w:t>
      </w:r>
    </w:p>
    <w:p w:rsidR="00816FDB" w:rsidRDefault="00816FDB">
      <w:pPr>
        <w:pStyle w:val="ConsPlusNormal"/>
        <w:jc w:val="right"/>
      </w:pPr>
      <w:r>
        <w:t>Комитета по тарифам и энергетике</w:t>
      </w:r>
    </w:p>
    <w:p w:rsidR="00816FDB" w:rsidRDefault="00816FDB">
      <w:pPr>
        <w:pStyle w:val="ConsPlusNormal"/>
        <w:jc w:val="right"/>
      </w:pPr>
      <w:r>
        <w:t>Псковской области</w:t>
      </w:r>
    </w:p>
    <w:p w:rsidR="00816FDB" w:rsidRDefault="00816FDB">
      <w:pPr>
        <w:pStyle w:val="ConsPlusNormal"/>
        <w:jc w:val="right"/>
      </w:pPr>
      <w:r>
        <w:t>от 27 ноября 2023 г. N 124-э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Title"/>
        <w:jc w:val="center"/>
      </w:pPr>
      <w:bookmarkStart w:id="0" w:name="P28"/>
      <w:bookmarkEnd w:id="0"/>
      <w:r>
        <w:t>ЦЕНЫ (ТАРИФЫ) НА ЭЛЕКТРИЧЕСКУЮ ЭНЕРГИЮ ДЛЯ НАСЕЛЕНИЯ</w:t>
      </w:r>
    </w:p>
    <w:p w:rsidR="00816FDB" w:rsidRDefault="00816FDB">
      <w:pPr>
        <w:pStyle w:val="ConsPlusTitle"/>
        <w:jc w:val="center"/>
      </w:pPr>
      <w:r>
        <w:t>И ПРИРАВНЕННЫХ К НЕМУ КАТЕГОРИЙ ПОТРЕБИТЕЛЕЙ</w:t>
      </w:r>
    </w:p>
    <w:p w:rsidR="00816FDB" w:rsidRDefault="00816FDB">
      <w:pPr>
        <w:pStyle w:val="ConsPlusTitle"/>
        <w:jc w:val="center"/>
      </w:pPr>
      <w:r>
        <w:t>ПСКОВСКОЙ ОБЛАСТИ НА 2024 ГОД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sectPr w:rsidR="00816FDB" w:rsidSect="007C2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587"/>
        <w:gridCol w:w="1587"/>
        <w:gridCol w:w="1587"/>
        <w:gridCol w:w="1587"/>
        <w:gridCol w:w="1587"/>
        <w:gridCol w:w="1587"/>
      </w:tblGrid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9522" w:type="dxa"/>
            <w:gridSpan w:val="6"/>
          </w:tcPr>
          <w:p w:rsidR="00816FDB" w:rsidRDefault="00816FDB">
            <w:pPr>
              <w:pStyle w:val="ConsPlusNormal"/>
              <w:jc w:val="center"/>
            </w:pPr>
            <w:r>
              <w:t>Цена (тариф), руб./кВт*ч (с учетом НДС)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4761" w:type="dxa"/>
            <w:gridSpan w:val="3"/>
          </w:tcPr>
          <w:p w:rsidR="00816FDB" w:rsidRDefault="00816FD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761" w:type="dxa"/>
            <w:gridSpan w:val="3"/>
          </w:tcPr>
          <w:p w:rsidR="00816FDB" w:rsidRDefault="00816FD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8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3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259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bookmarkStart w:id="1" w:name="_GoBack"/>
            <w:bookmarkEnd w:id="1"/>
            <w:r>
              <w:t>11,88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11,83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13,64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bookmarkStart w:id="2" w:name="P103"/>
            <w:bookmarkEnd w:id="2"/>
            <w:r>
              <w:t>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8,40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9,46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5,84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5,75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10,22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10,91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8,40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5,84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8,40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9,46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5,84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5,75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10,22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10,91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8,40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5,84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</w:t>
            </w:r>
            <w: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8,40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9,46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5,84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5,75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10,22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10,91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8,40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5,84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bookmarkStart w:id="3" w:name="P259"/>
            <w:bookmarkEnd w:id="3"/>
            <w:r>
              <w:t>5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4,50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7,35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4,74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8,28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5,11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9,54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9,55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4,50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7,35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5,11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16FDB" w:rsidRDefault="00816FDB">
            <w:pPr>
              <w:pStyle w:val="ConsPlusNormal"/>
              <w:jc w:val="both"/>
            </w:pPr>
            <w:r>
              <w:lastRenderedPageBreak/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11,83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13,64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3,86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4,50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7,35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4,74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8,28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5,11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5,37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9,54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5,85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9,55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4,50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7,35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5,11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11,83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13,64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11,83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13,64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11,83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13,64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6FDB" w:rsidRDefault="00816FD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816FDB">
        <w:tc>
          <w:tcPr>
            <w:tcW w:w="624" w:type="dxa"/>
          </w:tcPr>
          <w:p w:rsidR="00816FDB" w:rsidRDefault="00816FDB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6,24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6,68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6,77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11,83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  <w:tr w:rsidR="00816FDB">
        <w:tc>
          <w:tcPr>
            <w:tcW w:w="624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6.6.3</w:t>
            </w:r>
          </w:p>
        </w:tc>
        <w:tc>
          <w:tcPr>
            <w:tcW w:w="11336" w:type="dxa"/>
            <w:gridSpan w:val="7"/>
          </w:tcPr>
          <w:p w:rsidR="00816FDB" w:rsidRDefault="00816FDB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7,67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8,35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13,64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5,52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10,50</w:t>
            </w:r>
          </w:p>
        </w:tc>
      </w:tr>
      <w:tr w:rsidR="00816FDB">
        <w:tc>
          <w:tcPr>
            <w:tcW w:w="624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right"/>
            </w:pPr>
            <w:r>
              <w:t>7,30</w:t>
            </w:r>
          </w:p>
        </w:tc>
      </w:tr>
    </w:tbl>
    <w:p w:rsidR="00816FDB" w:rsidRDefault="00816FDB">
      <w:pPr>
        <w:pStyle w:val="ConsPlusNormal"/>
        <w:sectPr w:rsidR="00816F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right"/>
        <w:outlineLvl w:val="1"/>
      </w:pPr>
      <w:r>
        <w:t>Таблица 1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Title"/>
        <w:jc w:val="center"/>
      </w:pPr>
      <w:r>
        <w:t>Диапазоны объемов потребления</w:t>
      </w:r>
    </w:p>
    <w:p w:rsidR="00816FDB" w:rsidRDefault="00816FDB">
      <w:pPr>
        <w:pStyle w:val="ConsPlusTitle"/>
        <w:jc w:val="center"/>
      </w:pPr>
      <w:r>
        <w:t>электрической энергии (мощности)</w:t>
      </w:r>
    </w:p>
    <w:p w:rsidR="00816FDB" w:rsidRDefault="00816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3458"/>
        <w:gridCol w:w="1587"/>
        <w:gridCol w:w="1814"/>
        <w:gridCol w:w="1587"/>
      </w:tblGrid>
      <w:tr w:rsidR="00816FDB">
        <w:tc>
          <w:tcPr>
            <w:tcW w:w="599" w:type="dxa"/>
          </w:tcPr>
          <w:p w:rsidR="00816FDB" w:rsidRDefault="00816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кВт*ч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кВт*ч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кВт*ч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39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699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</w:t>
            </w:r>
            <w:r>
              <w:lastRenderedPageBreak/>
              <w:t>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</w:pPr>
            <w:r>
              <w:t>в иных случаях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bookmarkStart w:id="4" w:name="P639"/>
            <w:bookmarkEnd w:id="4"/>
            <w:r>
              <w:t>2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4896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4896 до 48960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48960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в иных случаях для расчетных </w:t>
            </w:r>
            <w:r>
              <w:lastRenderedPageBreak/>
              <w:t>периодов (месяцев), не относящихся к отопительному периоду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 xml:space="preserve">до 4896 </w:t>
            </w:r>
            <w:r>
              <w:lastRenderedPageBreak/>
              <w:t>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 xml:space="preserve">от 4896 до 48960 </w:t>
            </w:r>
            <w:r>
              <w:lastRenderedPageBreak/>
              <w:t>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lastRenderedPageBreak/>
              <w:t>свыше 48960</w:t>
            </w:r>
          </w:p>
        </w:tc>
      </w:tr>
      <w:tr w:rsidR="00816FDB">
        <w:tc>
          <w:tcPr>
            <w:tcW w:w="599" w:type="dxa"/>
          </w:tcPr>
          <w:p w:rsidR="00816FDB" w:rsidRDefault="00816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4896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4896 до 48960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48960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bookmarkStart w:id="5" w:name="P699"/>
            <w:bookmarkEnd w:id="5"/>
            <w:r>
              <w:t>5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-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4896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4896 до 48960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48960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4896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4896 до 48960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48960</w:t>
            </w:r>
          </w:p>
        </w:tc>
      </w:tr>
      <w:tr w:rsidR="00816FDB">
        <w:tc>
          <w:tcPr>
            <w:tcW w:w="599" w:type="dxa"/>
          </w:tcPr>
          <w:p w:rsidR="00816FDB" w:rsidRDefault="00816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</w:t>
            </w:r>
            <w:r>
              <w:lastRenderedPageBreak/>
              <w:t>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4896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4896 до 48960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48960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  <w:tr w:rsidR="00816FDB">
        <w:tc>
          <w:tcPr>
            <w:tcW w:w="59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46" w:type="dxa"/>
            <w:gridSpan w:val="4"/>
          </w:tcPr>
          <w:p w:rsidR="00816FDB" w:rsidRDefault="00816FD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6FDB" w:rsidRDefault="00816FDB">
            <w:pPr>
              <w:pStyle w:val="ConsPlusNormal"/>
              <w:jc w:val="both"/>
            </w:pPr>
            <w: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816FDB">
        <w:tc>
          <w:tcPr>
            <w:tcW w:w="59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3458" w:type="dxa"/>
          </w:tcPr>
          <w:p w:rsidR="00816FDB" w:rsidRDefault="00816FDB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до 4664 включительно</w:t>
            </w:r>
          </w:p>
        </w:tc>
        <w:tc>
          <w:tcPr>
            <w:tcW w:w="1814" w:type="dxa"/>
          </w:tcPr>
          <w:p w:rsidR="00816FDB" w:rsidRDefault="00816FDB">
            <w:pPr>
              <w:pStyle w:val="ConsPlusNormal"/>
              <w:jc w:val="center"/>
            </w:pPr>
            <w:r>
              <w:t>от 4664 до 46640 включительно</w:t>
            </w:r>
          </w:p>
        </w:tc>
        <w:tc>
          <w:tcPr>
            <w:tcW w:w="1587" w:type="dxa"/>
          </w:tcPr>
          <w:p w:rsidR="00816FDB" w:rsidRDefault="00816FDB">
            <w:pPr>
              <w:pStyle w:val="ConsPlusNormal"/>
              <w:jc w:val="center"/>
            </w:pPr>
            <w:r>
              <w:t>свыше 46640</w:t>
            </w:r>
          </w:p>
        </w:tc>
      </w:tr>
    </w:tbl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right"/>
        <w:outlineLvl w:val="1"/>
      </w:pPr>
      <w:r>
        <w:t>Таблица 2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Title"/>
        <w:jc w:val="center"/>
      </w:pPr>
      <w:r>
        <w:t>Примененный понижающий коэффициент при установлении цен</w:t>
      </w:r>
    </w:p>
    <w:p w:rsidR="00816FDB" w:rsidRDefault="00816FDB">
      <w:pPr>
        <w:pStyle w:val="ConsPlusTitle"/>
        <w:jc w:val="center"/>
      </w:pPr>
      <w:r>
        <w:t>(тарифов) на электрическую энергию (мощность) на 2024 г.</w:t>
      </w:r>
    </w:p>
    <w:p w:rsidR="00816FDB" w:rsidRDefault="00816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569"/>
        <w:gridCol w:w="1752"/>
      </w:tblGrid>
      <w:tr w:rsidR="00816FDB">
        <w:tc>
          <w:tcPr>
            <w:tcW w:w="567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321" w:type="dxa"/>
            <w:gridSpan w:val="2"/>
          </w:tcPr>
          <w:p w:rsidR="00816FDB" w:rsidRDefault="00816FD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16FDB">
        <w:tc>
          <w:tcPr>
            <w:tcW w:w="567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515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</w:t>
            </w:r>
            <w:r>
              <w:lastRenderedPageBreak/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0,75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0,80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0,80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0,75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0,80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0,70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0,70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</w:pPr>
          </w:p>
        </w:tc>
        <w:tc>
          <w:tcPr>
            <w:tcW w:w="1752" w:type="dxa"/>
          </w:tcPr>
          <w:p w:rsidR="00816FDB" w:rsidRDefault="00816FDB">
            <w:pPr>
              <w:pStyle w:val="ConsPlusNormal"/>
            </w:pP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1,00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0,70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6FDB" w:rsidRDefault="00816FD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1,00</w:t>
            </w:r>
          </w:p>
        </w:tc>
      </w:tr>
    </w:tbl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right"/>
        <w:outlineLvl w:val="1"/>
      </w:pPr>
      <w:r>
        <w:t>Таблица 3</w:t>
      </w: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Title"/>
        <w:jc w:val="center"/>
      </w:pPr>
      <w:r>
        <w:t>Балансовые показатели планового объема полезного</w:t>
      </w:r>
    </w:p>
    <w:p w:rsidR="00816FDB" w:rsidRDefault="00816FDB">
      <w:pPr>
        <w:pStyle w:val="ConsPlusTitle"/>
        <w:jc w:val="center"/>
      </w:pPr>
      <w:r>
        <w:lastRenderedPageBreak/>
        <w:t>отпуска электрической энергии, используемые</w:t>
      </w:r>
    </w:p>
    <w:p w:rsidR="00816FDB" w:rsidRDefault="00816FDB">
      <w:pPr>
        <w:pStyle w:val="ConsPlusTitle"/>
        <w:jc w:val="center"/>
      </w:pPr>
      <w:r>
        <w:t>при расчете цен (тарифов) на электрическую энергию</w:t>
      </w:r>
    </w:p>
    <w:p w:rsidR="00816FDB" w:rsidRDefault="00816FDB">
      <w:pPr>
        <w:pStyle w:val="ConsPlusTitle"/>
        <w:jc w:val="center"/>
      </w:pPr>
      <w:r>
        <w:t>для населения и приравненных к нему категорий</w:t>
      </w:r>
    </w:p>
    <w:p w:rsidR="00816FDB" w:rsidRDefault="00816FDB">
      <w:pPr>
        <w:pStyle w:val="ConsPlusTitle"/>
        <w:jc w:val="center"/>
      </w:pPr>
      <w:r>
        <w:t>потребителей Псковской области на 2024 год</w:t>
      </w:r>
    </w:p>
    <w:p w:rsidR="00816FDB" w:rsidRDefault="00816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569"/>
        <w:gridCol w:w="1752"/>
      </w:tblGrid>
      <w:tr w:rsidR="00816FDB">
        <w:tc>
          <w:tcPr>
            <w:tcW w:w="567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816FDB" w:rsidRDefault="00816FD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321" w:type="dxa"/>
            <w:gridSpan w:val="2"/>
          </w:tcPr>
          <w:p w:rsidR="00816FDB" w:rsidRDefault="00816FDB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кВт*ч</w:t>
            </w:r>
          </w:p>
        </w:tc>
      </w:tr>
      <w:tr w:rsidR="00816FDB">
        <w:tc>
          <w:tcPr>
            <w:tcW w:w="567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5159" w:type="dxa"/>
            <w:vMerge/>
          </w:tcPr>
          <w:p w:rsidR="00816FDB" w:rsidRDefault="00816FDB">
            <w:pPr>
              <w:pStyle w:val="ConsPlusNormal"/>
            </w:pP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5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87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172,7504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155,0155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bookmarkStart w:id="6" w:name="P852"/>
            <w:bookmarkEnd w:id="6"/>
            <w:r>
              <w:t>2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0,4217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0,3784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lastRenderedPageBreak/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25,3054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22,7075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3,3806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3,0336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bookmarkStart w:id="7" w:name="P873"/>
            <w:bookmarkEnd w:id="7"/>
            <w:r>
              <w:t>5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6FDB" w:rsidRDefault="00816FD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170,7978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153,2633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16,6790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14,9667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</w:t>
            </w:r>
            <w:r>
              <w:lastRenderedPageBreak/>
              <w:t>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16FDB" w:rsidRDefault="00816FDB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16FDB" w:rsidRDefault="00816FDB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0,0000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0,0000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9,7864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8,7817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0,9094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0,8161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3,5551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3,1902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 xml:space="preserve">Гарантирующие поставщики, энергосбытовые, </w:t>
            </w:r>
            <w:r>
              <w:lastRenderedPageBreak/>
              <w:t>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lastRenderedPageBreak/>
              <w:t>0,0000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0,0000</w:t>
            </w:r>
          </w:p>
        </w:tc>
      </w:tr>
      <w:tr w:rsidR="00816FDB">
        <w:tc>
          <w:tcPr>
            <w:tcW w:w="567" w:type="dxa"/>
          </w:tcPr>
          <w:p w:rsidR="00816FDB" w:rsidRDefault="00816FDB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159" w:type="dxa"/>
          </w:tcPr>
          <w:p w:rsidR="00816FDB" w:rsidRDefault="00816FD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6FDB" w:rsidRDefault="00816FD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69" w:type="dxa"/>
          </w:tcPr>
          <w:p w:rsidR="00816FDB" w:rsidRDefault="00816FDB">
            <w:pPr>
              <w:pStyle w:val="ConsPlusNormal"/>
              <w:jc w:val="right"/>
            </w:pPr>
            <w:r>
              <w:t>2,4281</w:t>
            </w:r>
          </w:p>
        </w:tc>
        <w:tc>
          <w:tcPr>
            <w:tcW w:w="1752" w:type="dxa"/>
          </w:tcPr>
          <w:p w:rsidR="00816FDB" w:rsidRDefault="00816FDB">
            <w:pPr>
              <w:pStyle w:val="ConsPlusNormal"/>
              <w:jc w:val="right"/>
            </w:pPr>
            <w:r>
              <w:t>2,1788</w:t>
            </w:r>
          </w:p>
        </w:tc>
      </w:tr>
    </w:tbl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jc w:val="both"/>
      </w:pPr>
    </w:p>
    <w:p w:rsidR="00816FDB" w:rsidRDefault="00816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A6B" w:rsidRDefault="00FC7A6B"/>
    <w:sectPr w:rsidR="00FC7A6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B"/>
    <w:rsid w:val="00816FDB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F8C5-E83E-466C-9686-F78AAA0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6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6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6F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6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6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6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6F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B94BCF2BE6A9C10AF62083F4F4F1810AEE4D3386CD2C9B4C37643AFC677C4A633C1D31F0E3CC27496E746485FB903635DCFBE2CAD24B57E1454U337I" TargetMode="External"/><Relationship Id="rId13" Type="http://schemas.openxmlformats.org/officeDocument/2006/relationships/hyperlink" Target="consultantplus://offline/ref=617B94BCF2BE6A9C10AF7C052923121015A4BBDA30678290E6C5211CFFC02284E63594905B033DC47FC6B6001606E8462851CDA130AC24UA3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B94BCF2BE6A9C10AF7C052923121015A7B8D6336ADF9AEE9C2D1EF8CF7D93F37CC09D5B0223C3768CE54441U038I" TargetMode="External"/><Relationship Id="rId12" Type="http://schemas.openxmlformats.org/officeDocument/2006/relationships/hyperlink" Target="consultantplus://offline/ref=617B94BCF2BE6A9C10AF7C052923121015A4BBDA30678290E6C5211CFFC02284E63594905B033DC47FC6B6001606E8462851CDA130AC24UA3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B94BCF2BE6A9C10AF7C052923121015A0BCDF3365DF9AEE9C2D1EF8CF7D93E17C98935F0A369625D6B249430AF646344ECDBF30UA3FI" TargetMode="External"/><Relationship Id="rId11" Type="http://schemas.openxmlformats.org/officeDocument/2006/relationships/hyperlink" Target="consultantplus://offline/ref=617B94BCF2BE6A9C10AF7C052923121015A4BBDA30678290E6C5211CFFC02284E63594905B033DC47FC6B6001606E8462851CDA130AC24UA38I" TargetMode="External"/><Relationship Id="rId5" Type="http://schemas.openxmlformats.org/officeDocument/2006/relationships/hyperlink" Target="consultantplus://offline/ref=617B94BCF2BE6A9C10AF7C052923121015A3BBDF336CDF9AEE9C2D1EF8CF7D93E17C98915B0238C37099B315075EE547374ECEBD2CAE26A9U73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B94BCF2BE6A9C10AF7C052923121015A4BBDA30678290E6C5211CFFC02284E63594905B033DC47FC6B6001606E8462851CDA130AC24UA3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7B94BCF2BE6A9C10AF7C052923121015A4BBDA30678290E6C5211CFFC02284E63594905B033DC47FC6B6001606E8462851CDA130AC24UA3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2023-12-01T08:55:00Z</dcterms:created>
  <dcterms:modified xsi:type="dcterms:W3CDTF">2023-12-01T08:58:00Z</dcterms:modified>
</cp:coreProperties>
</file>