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РЕГУЛИРОВАНИЯ ТАРИФОВ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47/16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СБЫТОВЫХ НАДБАВОК ГАРАНТИРУЮЩИХ ПОСТАВЩИКОВ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 В ГРАНИЦАХ ЗОНЫ ИХ ДЕЯТЕЛЬНОСТИ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</w:t>
      </w:r>
      <w:proofErr w:type="gramEnd"/>
      <w:r>
        <w:rPr>
          <w:rFonts w:ascii="Calibri" w:hAnsi="Calibri" w:cs="Calibri"/>
        </w:rPr>
        <w:t xml:space="preserve">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 октября 2012 г. N 703-э "Об утверждении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Саратовской области от 12 апреля 2007 г. N 169-П "Вопросы комитета государственного регулирования тарифов Саратовской области", протоколом заседания Правления государственного регулирования тарифов Саратовской области от 30 декабря 2013 г. N 47 комитет государственного регулирования тарифов Саратовской области постановляет: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2014 года сбытовые </w:t>
      </w:r>
      <w:hyperlink w:anchor="Par3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Саратовской области в границах зоны их деятельности с календарной разбивкой в соответствии с приложением.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</w:t>
      </w:r>
      <w:hyperlink w:anchor="Par3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>, установленные пунктом 1 настоящего постановления, действуют не менее чем по 31 декабря 2014 года.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Определить, что сбытовые </w:t>
      </w:r>
      <w:hyperlink w:anchor="Par31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>, установленные пунктом 1 настоящего постановления, входят в структуру тарифов на электрическую энергию, поставляемую потребителям гарантирующих поставщиков Саратовской области в границах зоны их деятельности.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утратившими силу с 1 января 2014 года </w:t>
      </w: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постановления комитета государственного регулирования тарифов Саратовской области от 27 декабря 2012 г. N 48/2 "Об установлении сбытовых надбавок гарантирующих поставщиков Саратовской области в границах зоны их деятельности".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подлежит официальному опубликованию в средствах массовой информации.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Л.Н.НОВИКОВА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государственного регулирования тарифов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2013 г. N 47/16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E2762F" w:rsidSect="001C1E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СБЫТОВАЯ НАДБАВКА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ГАРАНТИРУЮЩИХ ПОСТАВЩИКОВ </w:t>
      </w:r>
      <w:proofErr w:type="gramStart"/>
      <w:r>
        <w:rPr>
          <w:rFonts w:ascii="Calibri" w:hAnsi="Calibri" w:cs="Calibri"/>
          <w:b/>
          <w:bCs/>
        </w:rPr>
        <w:t>ЭЛЕКТРИЧЕСКОЙ</w:t>
      </w:r>
      <w:proofErr w:type="gramEnd"/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ЭНЕРГИИ, </w:t>
      </w:r>
      <w:proofErr w:type="gramStart"/>
      <w:r>
        <w:rPr>
          <w:rFonts w:ascii="Calibri" w:hAnsi="Calibri" w:cs="Calibri"/>
          <w:b/>
          <w:bCs/>
        </w:rPr>
        <w:t>ПОСТАВЛЯЮЩИХ</w:t>
      </w:r>
      <w:proofErr w:type="gramEnd"/>
      <w:r>
        <w:rPr>
          <w:rFonts w:ascii="Calibri" w:hAnsi="Calibri" w:cs="Calibri"/>
          <w:b/>
          <w:bCs/>
        </w:rPr>
        <w:t xml:space="preserve"> ЭЛЕКТРИЧЕСКУЮ ЭНЕРГИЮ (МОЩНОСТЬ)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РОЗНИЧНОМ РЫНКЕ НА ТЕРРИТОРИЯХ, ОБЪЕДИНЕННЫХ В </w:t>
      </w:r>
      <w:proofErr w:type="gramStart"/>
      <w:r>
        <w:rPr>
          <w:rFonts w:ascii="Calibri" w:hAnsi="Calibri" w:cs="Calibri"/>
          <w:b/>
          <w:bCs/>
        </w:rPr>
        <w:t>ЦЕНОВЫЕ</w:t>
      </w:r>
      <w:proofErr w:type="gramEnd"/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НЕЦЕНОВЫЕ ЗОНЫ ОПТОВОГО РЫНКА (ТАРИФЫ УКАЗЫВАЮТСЯ БЕЗ НДС)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4070"/>
        <w:gridCol w:w="3855"/>
      </w:tblGrid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нему категории потребителей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"Саратовэнерго"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0,17542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"Саратовское предприятие городских электрических сетей"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0,10366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0,10366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0,10337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0,10743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"Саратовэнерго"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0,17826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"Саратовское предприятие городских электрических сетей"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0,06365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0,08643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0,02643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0,13286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0,14682</w:t>
            </w:r>
          </w:p>
        </w:tc>
      </w:tr>
    </w:tbl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5102"/>
        <w:gridCol w:w="5102"/>
      </w:tblGrid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гарантирующего </w:t>
            </w:r>
            <w:r>
              <w:rPr>
                <w:rFonts w:ascii="Calibri" w:hAnsi="Calibri" w:cs="Calibri"/>
              </w:rPr>
              <w:lastRenderedPageBreak/>
              <w:t>поставщика в субъекте Российской Федерации</w:t>
            </w: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Сбытовая надбавка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"прочие потребители"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"Саратовэнерго"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20.55pt">
                  <v:imagedata r:id="rId13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6" type="#_x0000_t75" style="width:165.85pt;height:20.55pt">
                  <v:imagedata r:id="rId14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кВт до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7" type="#_x0000_t75" style="width:149.8pt;height:20.55pt">
                  <v:imagedata r:id="rId15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"Саратовское предприятие городских электрических сетей"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8" type="#_x0000_t75" style="width:134.35pt;height:20.55pt">
                  <v:imagedata r:id="rId16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29" type="#_x0000_t75" style="width:153pt;height:20.55pt">
                  <v:imagedata r:id="rId13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0" type="#_x0000_t75" style="width:165.85pt;height:20.55pt">
                  <v:imagedata r:id="rId14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кВт до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1" type="#_x0000_t75" style="width:149.8pt;height:20.55pt">
                  <v:imagedata r:id="rId15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2" type="#_x0000_t75" style="width:134.35pt;height:20.55pt">
                  <v:imagedata r:id="rId16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3" type="#_x0000_t75" style="width:153pt;height:20.55pt">
                  <v:imagedata r:id="rId13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4" type="#_x0000_t75" style="width:165.85pt;height:20.55pt">
                  <v:imagedata r:id="rId14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кВт до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5" type="#_x0000_t75" style="width:149.8pt;height:20.55pt">
                  <v:imagedata r:id="rId15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6" type="#_x0000_t75" style="width:134.35pt;height:20.55pt">
                  <v:imagedata r:id="rId16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до 150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7" type="#_x0000_t75" style="width:153pt;height:20.55pt">
                  <v:imagedata r:id="rId13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150 до 670 кВт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8" type="#_x0000_t75" style="width:165.85pt;height:20.55pt">
                  <v:imagedata r:id="rId14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от 670 кВт до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39" type="#_x0000_t75" style="width:149.8pt;height:20.55pt">
                  <v:imagedata r:id="rId15" o:title=""/>
                </v:shape>
              </w:pic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 не менее 10 МВт = ДП x Крег x Ц</w:t>
            </w:r>
            <w:proofErr w:type="gramStart"/>
            <w:r>
              <w:rPr>
                <w:rFonts w:ascii="Calibri" w:hAnsi="Calibri" w:cs="Calibri"/>
              </w:rPr>
              <w:t>э(</w:t>
            </w:r>
            <w:proofErr w:type="gramEnd"/>
            <w:r>
              <w:rPr>
                <w:rFonts w:ascii="Calibri" w:hAnsi="Calibri" w:cs="Calibri"/>
              </w:rPr>
              <w:t>м)</w:t>
            </w:r>
          </w:p>
        </w:tc>
      </w:tr>
    </w:tbl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0"/>
        </w:rPr>
        <w:pict>
          <v:shape id="_x0000_i1040" type="#_x0000_t75" style="width:33.45pt;height:27.65pt">
            <v:imagedata r:id="rId17" o:title=""/>
          </v:shape>
        </w:pict>
      </w:r>
      <w:r>
        <w:rPr>
          <w:rFonts w:ascii="Calibri" w:hAnsi="Calibri" w:cs="Calibri"/>
        </w:rPr>
        <w:t xml:space="preserve"> - j-ый вид цены на электрическую энергию и (или) мощность k-го ГП, руб./кВт ч или руб./кВт, указанный в </w:t>
      </w:r>
      <w:hyperlink r:id="rId18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ДПi.k - доходность продаж, определяемая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</w:t>
      </w:r>
      <w:r>
        <w:rPr>
          <w:rFonts w:ascii="Calibri" w:hAnsi="Calibri" w:cs="Calibri"/>
        </w:rPr>
        <w:lastRenderedPageBreak/>
        <w:t>(зарегистрировано в Минюсте России 29.11.2012, регистрационный N 25975), и указанная в отношении i-ых подгрупп группы "прочие потребители" k-го ГП в таблице: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2891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потребители", (ДП) &lt;1&gt;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подгруппы потребителей с максимальной мощностью энергопринимающих устройств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"Саратовэнерго"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"Саратовское предприятие городских электрических сетей"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6,31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</w:tr>
    </w:tbl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1" type="#_x0000_t75" style="width:29.55pt;height:22.5pt">
            <v:imagedata r:id="rId20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ГП, определяемый в соответствии с </w:t>
      </w:r>
      <w:hyperlink r:id="rId21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k-го ГП в таблице: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5783"/>
        <w:gridCol w:w="2154"/>
        <w:gridCol w:w="2154"/>
      </w:tblGrid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Коэффициент параметров деятельности гарантирующего поставщика, </w:t>
            </w:r>
            <w:r>
              <w:rPr>
                <w:rFonts w:ascii="Calibri" w:hAnsi="Calibri" w:cs="Calibri"/>
                <w:position w:val="-12"/>
              </w:rPr>
              <w:pict>
                <v:shape id="_x0000_i1042" type="#_x0000_t75" style="width:29.55pt;height:21.85pt">
                  <v:imagedata r:id="rId22" o:title=""/>
                </v:shape>
              </w:pict>
            </w:r>
            <w:r>
              <w:rPr>
                <w:rFonts w:ascii="Calibri" w:hAnsi="Calibri" w:cs="Calibri"/>
              </w:rPr>
              <w:t xml:space="preserve"> &lt;1&gt;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"Саратовэнерго"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"Саратовское предприятие городских электрических сетей"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</w:t>
            </w:r>
          </w:p>
        </w:tc>
      </w:tr>
      <w:tr w:rsidR="00E2762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"Оборонэнергосбыт"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2F" w:rsidRDefault="00E27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</w:t>
            </w:r>
          </w:p>
        </w:tc>
      </w:tr>
    </w:tbl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2762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тарифных групп потребителей приведены в соответствии с </w:t>
      </w:r>
      <w:hyperlink r:id="rId23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</w:t>
      </w:r>
      <w:proofErr w:type="gramStart"/>
      <w:r>
        <w:rPr>
          <w:rFonts w:ascii="Calibri" w:hAnsi="Calibri" w:cs="Calibri"/>
        </w:rPr>
        <w:t>продаж</w:t>
      </w:r>
      <w:proofErr w:type="gramEnd"/>
      <w:r>
        <w:rPr>
          <w:rFonts w:ascii="Calibri" w:hAnsi="Calibri" w:cs="Calibri"/>
        </w:rPr>
        <w:t xml:space="preserve"> гарантирующих поставщиков, утвержденными приказом Федеральной службы по тарифам от 30 октября 2012 г. N 703-э.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Сбытовые надбавки для группы "прочие потребители" дифференцируются по следующим подгруппам потребителей в зависимости от величины максимальной мощности принадлежащих им энергопринимающих устройств: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с максимальной мощностью энергопринимающих устройств менее 150 кВт;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с максимальной мощностью энергопринимающих устройств от 150 до 670 кВт;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с максимальной мощностью энергопринимающих устройств от 670 кВт до 10 МВт;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потребители с максимальной мощностью энергопринимающих устройств не менее 10 МВт.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Сбытовые надбавки для потребителей группы "прочие потребители" устанавливаются в виде формулы как процент от цены на электрическую энергию и (или) мощность </w:t>
      </w:r>
      <w:r>
        <w:rPr>
          <w:rFonts w:ascii="Calibri" w:hAnsi="Calibri" w:cs="Calibri"/>
        </w:rPr>
        <w:pict>
          <v:shape id="_x0000_i1043" type="#_x0000_t75" style="width:34.05pt;height:20.55pt">
            <v:imagedata r:id="rId24" o:title=""/>
          </v:shape>
        </w:pic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первой ценовой категории - средневзвешенная нерегулируемая цена на электрическую энергию (мощность);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второй ценовой категории -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третьей и четвертой ценовых категорий: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пятой и шестой ценовых категорий: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плановым;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>
        <w:rPr>
          <w:rFonts w:ascii="Calibri" w:hAnsi="Calibri" w:cs="Calibri"/>
        </w:rPr>
        <w:t>над</w:t>
      </w:r>
      <w:proofErr w:type="gramEnd"/>
      <w:r>
        <w:rPr>
          <w:rFonts w:ascii="Calibri" w:hAnsi="Calibri" w:cs="Calibri"/>
        </w:rPr>
        <w:t xml:space="preserve"> фактическим;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Указанный выше процент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произведению доходности продаж подгруппы группы "прочие потребители" (ДП) и коэффициента, j, k отражающего влияние региональных параметров деятельности гарантирующего поставщика на величину сбытовой надбавки в отношении группы "прочие потребители" </w:t>
      </w:r>
      <w:r>
        <w:rPr>
          <w:rFonts w:ascii="Calibri" w:hAnsi="Calibri" w:cs="Calibri"/>
          <w:position w:val="-9"/>
        </w:rPr>
        <w:pict>
          <v:shape id="_x0000_i1044" type="#_x0000_t75" style="width:34.05pt;height:18.65pt">
            <v:imagedata r:id="rId25" o:title=""/>
          </v:shape>
        </w:pict>
      </w:r>
      <w:r>
        <w:rPr>
          <w:rFonts w:ascii="Calibri" w:hAnsi="Calibri" w:cs="Calibri"/>
        </w:rPr>
        <w:t xml:space="preserve"> (далее - коэффициент параметров деятельности ГП):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45" type="#_x0000_t75" style="width:133.05pt;height:20.55pt">
            <v:imagedata r:id="rId26" o:title=""/>
          </v:shape>
        </w:pic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46" type="#_x0000_t75" style="width:36pt;height:20.55pt">
            <v:imagedata r:id="rId27" o:title=""/>
          </v:shape>
        </w:pict>
      </w:r>
      <w:r>
        <w:rPr>
          <w:rFonts w:ascii="Calibri" w:hAnsi="Calibri" w:cs="Calibri"/>
        </w:rPr>
        <w:t xml:space="preserve"> - сбытовая надбавка для i-ой подгруппы группы "прочие потребители", соответствующая j-тому виду цены на электрическую энергию и (или) мощность k-го ГП,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руб./кВт;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7" type="#_x0000_t75" style="width:30.2pt;height:18.65pt">
            <v:imagedata r:id="rId28" o:title=""/>
          </v:shape>
        </w:pict>
      </w:r>
      <w:r>
        <w:rPr>
          <w:rFonts w:ascii="Calibri" w:hAnsi="Calibri" w:cs="Calibri"/>
        </w:rPr>
        <w:t xml:space="preserve"> - доходность продаж, определяемая в отношении i-ой подгруппы группы "прочие потребители" k-го ГП</w:t>
      </w:r>
      <w:proofErr w:type="gramStart"/>
      <w:r>
        <w:rPr>
          <w:rFonts w:ascii="Calibri" w:hAnsi="Calibri" w:cs="Calibri"/>
        </w:rPr>
        <w:t>, %;</w:t>
      </w:r>
      <w:proofErr w:type="gramEnd"/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48" type="#_x0000_t75" style="width:23.8pt;height:18.65pt">
            <v:imagedata r:id="rId29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ГП, определяемый в отношении группы "прочие потребители" k-го ГП;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49" type="#_x0000_t75" style="width:29.55pt;height:20.55pt">
            <v:imagedata r:id="rId30" o:title=""/>
          </v:shape>
        </w:pict>
      </w:r>
      <w:r>
        <w:rPr>
          <w:rFonts w:ascii="Calibri" w:hAnsi="Calibri" w:cs="Calibri"/>
        </w:rPr>
        <w:t xml:space="preserve"> - i-ый вид цены на электрическую энергию и (или) мощность k-го ГП, руб./кВт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руб./кВт.</w:t>
      </w: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762F" w:rsidRDefault="00E276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762F" w:rsidRDefault="00E2762F">
      <w:bookmarkStart w:id="3" w:name="_GoBack"/>
      <w:bookmarkEnd w:id="3"/>
    </w:p>
    <w:sectPr w:rsidR="00E2762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F"/>
    <w:rsid w:val="00E2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2C84A1E59878DC716F1651B6E4D52BE6BDAEE7DBFB1F41C3296C681z9vDI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86C2C84A1E59878DC716F1651B6E4D52BE6BDAEE7DBFB1F41C3296C6819D414F3E9EF6C4363F6090zAvFI" TargetMode="Externa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C2C84A1E59878DC716F1651B6E4D52BE6BDAEE7DBFB1F41C3296C6819D414F3E9EF6C4363F6098zAvBI" TargetMode="External"/><Relationship Id="rId7" Type="http://schemas.openxmlformats.org/officeDocument/2006/relationships/hyperlink" Target="consultantplus://offline/ref=86C2C84A1E59878DC716F1651B6E4D52BE6DD3EA79B2B1F41C3296C681z9vDI" TargetMode="External"/><Relationship Id="rId12" Type="http://schemas.openxmlformats.org/officeDocument/2006/relationships/hyperlink" Target="consultantplus://offline/ref=86C2C84A1E59878DC716EF680D02105AB7638CE57EB4B9A7436DCD9BD6944B1879D1AF8672326199A8FB51zCv1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6C2C84A1E59878DC716F1651B6E4D52BE6DD5EB7ABEB1F41C3296C681z9vDI" TargetMode="External"/><Relationship Id="rId11" Type="http://schemas.openxmlformats.org/officeDocument/2006/relationships/hyperlink" Target="consultantplus://offline/ref=86C2C84A1E59878DC716EF680D02105AB7638CE57EB4B9A7436DCD9BD6944B1879D1AF8672326199A8FB51zCv0I" TargetMode="External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6C2C84A1E59878DC716F1651B6E4D52BE6DD6E079B7B1F41C3296C6819D414F3E9EF6C4363F679CzAvDI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86C2C84A1E59878DC716F1651B6E4D52BE6BDAEE7DBFB1F41C3296C6819D414F3E9EF6C4363F6098zAvBI" TargetMode="External"/><Relationship Id="rId28" Type="http://schemas.openxmlformats.org/officeDocument/2006/relationships/image" Target="media/image12.wmf"/><Relationship Id="rId10" Type="http://schemas.openxmlformats.org/officeDocument/2006/relationships/hyperlink" Target="consultantplus://offline/ref=86C2C84A1E59878DC716EF680D02105AB7638CE57EB4B9A7436DCD9BD6944B1879D1AF8672326199A8FB51zCv3I" TargetMode="External"/><Relationship Id="rId19" Type="http://schemas.openxmlformats.org/officeDocument/2006/relationships/hyperlink" Target="consultantplus://offline/ref=86C2C84A1E59878DC716F1651B6E4D52BE6BDAEE7DBFB1F41C3296C6819D414F3E9EF6C4363F6098zAvB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2C84A1E59878DC716EF680D02105AB7638CE57EB2B8A1406DCD9BD6944B1879D1AF8672326199A8F950zCv1I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7.wmf"/><Relationship Id="rId27" Type="http://schemas.openxmlformats.org/officeDocument/2006/relationships/image" Target="media/image11.wmf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2014-02-17T08:47:00Z</dcterms:created>
  <dcterms:modified xsi:type="dcterms:W3CDTF">2014-02-17T08:48:00Z</dcterms:modified>
</cp:coreProperties>
</file>