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2AB" w:rsidRDefault="005462AB">
      <w:pPr>
        <w:pStyle w:val="ConsPlusTitlePage"/>
      </w:pPr>
      <w:r>
        <w:t xml:space="preserve">Документ предоставлен </w:t>
      </w:r>
      <w:hyperlink r:id="rId4" w:history="1">
        <w:r>
          <w:rPr>
            <w:color w:val="0000FF"/>
          </w:rPr>
          <w:t>КонсультантПлюс</w:t>
        </w:r>
      </w:hyperlink>
      <w:r>
        <w:br/>
      </w:r>
    </w:p>
    <w:p w:rsidR="005462AB" w:rsidRDefault="005462AB">
      <w:pPr>
        <w:pStyle w:val="ConsPlusNormal"/>
        <w:jc w:val="both"/>
        <w:outlineLvl w:val="0"/>
      </w:pPr>
    </w:p>
    <w:p w:rsidR="005462AB" w:rsidRDefault="005462AB">
      <w:pPr>
        <w:pStyle w:val="ConsPlusTitle"/>
        <w:jc w:val="center"/>
        <w:outlineLvl w:val="0"/>
      </w:pPr>
      <w:r>
        <w:t>УПРАВЛЕНИЕ АЛТАЙСКОГО КРАЯ ПО ГОСУДАРСТВЕННОМУ</w:t>
      </w:r>
    </w:p>
    <w:p w:rsidR="005462AB" w:rsidRDefault="005462AB">
      <w:pPr>
        <w:pStyle w:val="ConsPlusTitle"/>
        <w:jc w:val="center"/>
      </w:pPr>
      <w:r>
        <w:t>РЕГУЛИРОВАНИЮ ЦЕН И ТАРИФОВ</w:t>
      </w:r>
    </w:p>
    <w:p w:rsidR="005462AB" w:rsidRDefault="005462AB">
      <w:pPr>
        <w:pStyle w:val="ConsPlusTitle"/>
        <w:jc w:val="both"/>
      </w:pPr>
    </w:p>
    <w:p w:rsidR="005462AB" w:rsidRDefault="005462AB">
      <w:pPr>
        <w:pStyle w:val="ConsPlusTitle"/>
        <w:jc w:val="center"/>
      </w:pPr>
      <w:r>
        <w:t>РЕШЕНИЕ</w:t>
      </w:r>
    </w:p>
    <w:p w:rsidR="005462AB" w:rsidRDefault="005462AB">
      <w:pPr>
        <w:pStyle w:val="ConsPlusTitle"/>
        <w:jc w:val="center"/>
      </w:pPr>
    </w:p>
    <w:p w:rsidR="005462AB" w:rsidRDefault="005462AB">
      <w:pPr>
        <w:pStyle w:val="ConsPlusTitle"/>
        <w:jc w:val="center"/>
      </w:pPr>
      <w:r>
        <w:t>от 24 мая 2021 г. N 49</w:t>
      </w:r>
    </w:p>
    <w:p w:rsidR="005462AB" w:rsidRDefault="005462AB">
      <w:pPr>
        <w:pStyle w:val="ConsPlusTitle"/>
        <w:jc w:val="both"/>
      </w:pPr>
    </w:p>
    <w:p w:rsidR="005462AB" w:rsidRDefault="005462AB">
      <w:pPr>
        <w:pStyle w:val="ConsPlusTitle"/>
        <w:jc w:val="center"/>
      </w:pPr>
      <w:r>
        <w:t>О ВНЕСЕНИИ ИЗМЕНЕНИЯ В РЕШЕНИЕ УПРАВЛЕНИЯ АЛТАЙСКОГО КРАЯ</w:t>
      </w:r>
    </w:p>
    <w:p w:rsidR="005462AB" w:rsidRDefault="005462AB">
      <w:pPr>
        <w:pStyle w:val="ConsPlusTitle"/>
        <w:jc w:val="center"/>
      </w:pPr>
      <w:r>
        <w:t>ПО ГОСУДАРСТВЕННОМУ РЕГУЛИРОВАНИЮ ЦЕН И ТАРИФОВ</w:t>
      </w:r>
    </w:p>
    <w:p w:rsidR="005462AB" w:rsidRDefault="005462AB">
      <w:pPr>
        <w:pStyle w:val="ConsPlusTitle"/>
        <w:jc w:val="center"/>
      </w:pPr>
      <w:r>
        <w:t>ОТ 27.12.2019 N 589</w:t>
      </w:r>
    </w:p>
    <w:p w:rsidR="005462AB" w:rsidRDefault="005462AB">
      <w:pPr>
        <w:pStyle w:val="ConsPlusNormal"/>
        <w:jc w:val="both"/>
      </w:pPr>
    </w:p>
    <w:p w:rsidR="005462AB" w:rsidRDefault="005462AB">
      <w:pPr>
        <w:pStyle w:val="ConsPlusNormal"/>
        <w:ind w:firstLine="540"/>
        <w:jc w:val="both"/>
      </w:pPr>
      <w:r>
        <w:t xml:space="preserve">В соответствии с Федеральным </w:t>
      </w:r>
      <w:hyperlink r:id="rId5" w:history="1">
        <w:r>
          <w:rPr>
            <w:color w:val="0000FF"/>
          </w:rPr>
          <w:t>законом</w:t>
        </w:r>
      </w:hyperlink>
      <w:r>
        <w:t xml:space="preserve"> от 26.03.2003 N 35-ФЗ "Об электроэнергетике", постановлениями Правительства Российской Федерации от 29.12.2011 </w:t>
      </w:r>
      <w:hyperlink r:id="rId6" w:history="1">
        <w:r>
          <w:rPr>
            <w:color w:val="0000FF"/>
          </w:rPr>
          <w:t>N 1178</w:t>
        </w:r>
      </w:hyperlink>
      <w:r>
        <w:t xml:space="preserve"> "О ценообразовании в области регулируемых цен (тарифов) в электроэнергетике", от, 27.12.2004 </w:t>
      </w:r>
      <w:hyperlink r:id="rId7" w:history="1">
        <w:r>
          <w:rPr>
            <w:color w:val="0000FF"/>
          </w:rPr>
          <w:t>N 861</w:t>
        </w:r>
      </w:hyperlink>
      <w:r>
        <w:t xml:space="preserve">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hyperlink r:id="rId8" w:history="1">
        <w:r>
          <w:rPr>
            <w:color w:val="0000FF"/>
          </w:rPr>
          <w:t>приказом</w:t>
        </w:r>
      </w:hyperlink>
      <w:r>
        <w:t xml:space="preserve"> Федеральной антимонопольной службы от 19.06.2018 N 834/18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 исполнительной власти субъекта Российской Федерации в области государственного регулирования тарифов", </w:t>
      </w:r>
      <w:hyperlink r:id="rId9" w:history="1">
        <w:r>
          <w:rPr>
            <w:color w:val="0000FF"/>
          </w:rPr>
          <w:t>приказом</w:t>
        </w:r>
      </w:hyperlink>
      <w:r>
        <w:t xml:space="preserve"> Федеральной службы по тарифам от 17.02.2012 N 98-э "Об утверждении Методических указаний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w:t>
      </w:r>
      <w:hyperlink r:id="rId10" w:history="1">
        <w:r>
          <w:rPr>
            <w:color w:val="0000FF"/>
          </w:rPr>
          <w:t>постановлением</w:t>
        </w:r>
      </w:hyperlink>
      <w:r>
        <w:t xml:space="preserve"> Администрации Алтайского края от 30.11.2011 N 695 "Об утверждении положения об управлении Алтайского края по государственному регулированию цен и тарифов", апелляционным определением коллегии по административным делам Пятого апелляционного суда от 22.04.2021, на основании решения правления управление Алтайского края по государственному регулированию цен и тарифов решило:</w:t>
      </w:r>
    </w:p>
    <w:p w:rsidR="005462AB" w:rsidRDefault="005462AB">
      <w:pPr>
        <w:pStyle w:val="ConsPlusNormal"/>
        <w:spacing w:before="220"/>
        <w:ind w:firstLine="540"/>
        <w:jc w:val="both"/>
      </w:pPr>
      <w:r>
        <w:t xml:space="preserve">1. Внести в </w:t>
      </w:r>
      <w:hyperlink r:id="rId11" w:history="1">
        <w:r>
          <w:rPr>
            <w:color w:val="0000FF"/>
          </w:rPr>
          <w:t>приложение</w:t>
        </w:r>
      </w:hyperlink>
      <w:r>
        <w:t xml:space="preserve"> к решению управления Алтайского края по государственному регулированию цен и тарифов от 27.12.2019 N 589 "Об установлении единых (котловых)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на территории Алтайского края, на 2020 - 2024 годы" (в редакции от 11.03.2020 N 27, 30.06.2020 N 70, от 29.12.2020 N 556, от 27.01.2021 N 7) изменение, изложив </w:t>
      </w:r>
      <w:hyperlink r:id="rId12" w:history="1">
        <w:r>
          <w:rPr>
            <w:color w:val="0000FF"/>
          </w:rPr>
          <w:t>таблицу 2.1</w:t>
        </w:r>
      </w:hyperlink>
      <w:r>
        <w:t xml:space="preserve"> в редакции согласно </w:t>
      </w:r>
      <w:hyperlink w:anchor="P25" w:history="1">
        <w:r>
          <w:rPr>
            <w:color w:val="0000FF"/>
          </w:rPr>
          <w:t>приложению</w:t>
        </w:r>
      </w:hyperlink>
      <w:r>
        <w:t xml:space="preserve"> к настоящему решению.</w:t>
      </w:r>
    </w:p>
    <w:p w:rsidR="005462AB" w:rsidRDefault="005462AB">
      <w:pPr>
        <w:pStyle w:val="ConsPlusNormal"/>
        <w:spacing w:before="220"/>
        <w:ind w:firstLine="540"/>
        <w:jc w:val="both"/>
      </w:pPr>
      <w:r>
        <w:t>2. Настоящее решение вступает в силу с даты опубликования на "Официальном интернет-портале правовой информации" (www.pravo.gov.ru) и распространяет свое действие на правоотношения, возникшие с 22.04.2021.</w:t>
      </w:r>
    </w:p>
    <w:p w:rsidR="005462AB" w:rsidRDefault="005462AB">
      <w:pPr>
        <w:pStyle w:val="ConsPlusNormal"/>
        <w:jc w:val="both"/>
      </w:pPr>
    </w:p>
    <w:p w:rsidR="005462AB" w:rsidRDefault="005462AB">
      <w:pPr>
        <w:pStyle w:val="ConsPlusNormal"/>
        <w:jc w:val="right"/>
      </w:pPr>
      <w:r>
        <w:t>Заместитель начальника управления,</w:t>
      </w:r>
    </w:p>
    <w:p w:rsidR="005462AB" w:rsidRDefault="005462AB">
      <w:pPr>
        <w:pStyle w:val="ConsPlusNormal"/>
        <w:jc w:val="right"/>
      </w:pPr>
      <w:r>
        <w:t>начальник отдела мониторинга, анализа</w:t>
      </w:r>
    </w:p>
    <w:p w:rsidR="005462AB" w:rsidRDefault="005462AB">
      <w:pPr>
        <w:pStyle w:val="ConsPlusNormal"/>
        <w:jc w:val="right"/>
      </w:pPr>
      <w:r>
        <w:t>и развития информационных технологий</w:t>
      </w:r>
    </w:p>
    <w:p w:rsidR="005462AB" w:rsidRDefault="005462AB">
      <w:pPr>
        <w:pStyle w:val="ConsPlusNormal"/>
        <w:jc w:val="right"/>
      </w:pPr>
      <w:r>
        <w:t>О.В.КОЛОСКОВ</w:t>
      </w:r>
    </w:p>
    <w:p w:rsidR="005462AB" w:rsidRDefault="005462AB">
      <w:pPr>
        <w:pStyle w:val="ConsPlusNormal"/>
        <w:jc w:val="both"/>
      </w:pPr>
    </w:p>
    <w:p w:rsidR="005462AB" w:rsidRDefault="005462AB">
      <w:pPr>
        <w:pStyle w:val="ConsPlusNormal"/>
        <w:jc w:val="both"/>
      </w:pPr>
    </w:p>
    <w:p w:rsidR="005462AB" w:rsidRDefault="005462AB">
      <w:pPr>
        <w:pStyle w:val="ConsPlusNormal"/>
        <w:jc w:val="both"/>
      </w:pPr>
    </w:p>
    <w:p w:rsidR="005462AB" w:rsidRDefault="005462AB">
      <w:pPr>
        <w:pStyle w:val="ConsPlusNormal"/>
        <w:jc w:val="both"/>
      </w:pPr>
    </w:p>
    <w:p w:rsidR="005462AB" w:rsidRDefault="005462AB">
      <w:pPr>
        <w:pStyle w:val="ConsPlusNormal"/>
        <w:jc w:val="both"/>
      </w:pPr>
    </w:p>
    <w:p w:rsidR="005462AB" w:rsidRDefault="005462AB">
      <w:pPr>
        <w:pStyle w:val="ConsPlusNormal"/>
        <w:jc w:val="right"/>
        <w:outlineLvl w:val="0"/>
      </w:pPr>
      <w:bookmarkStart w:id="0" w:name="P25"/>
      <w:bookmarkEnd w:id="0"/>
      <w:r>
        <w:t>Приложение</w:t>
      </w:r>
    </w:p>
    <w:p w:rsidR="005462AB" w:rsidRDefault="005462AB">
      <w:pPr>
        <w:pStyle w:val="ConsPlusNormal"/>
        <w:jc w:val="right"/>
      </w:pPr>
      <w:r>
        <w:t>к Решению</w:t>
      </w:r>
    </w:p>
    <w:p w:rsidR="005462AB" w:rsidRDefault="005462AB">
      <w:pPr>
        <w:pStyle w:val="ConsPlusNormal"/>
        <w:jc w:val="right"/>
      </w:pPr>
      <w:r>
        <w:t>управления Алтайского края</w:t>
      </w:r>
    </w:p>
    <w:p w:rsidR="005462AB" w:rsidRDefault="005462AB">
      <w:pPr>
        <w:pStyle w:val="ConsPlusNormal"/>
        <w:jc w:val="right"/>
      </w:pPr>
      <w:r>
        <w:t>по государственному регулированию</w:t>
      </w:r>
    </w:p>
    <w:p w:rsidR="005462AB" w:rsidRDefault="005462AB">
      <w:pPr>
        <w:pStyle w:val="ConsPlusNormal"/>
        <w:jc w:val="right"/>
      </w:pPr>
      <w:r>
        <w:t>цен и тарифов</w:t>
      </w:r>
    </w:p>
    <w:p w:rsidR="005462AB" w:rsidRDefault="005462AB">
      <w:pPr>
        <w:pStyle w:val="ConsPlusNormal"/>
        <w:jc w:val="right"/>
      </w:pPr>
      <w:r>
        <w:t>от 24 мая 2021 г. N 49</w:t>
      </w:r>
    </w:p>
    <w:p w:rsidR="005462AB" w:rsidRDefault="005462AB">
      <w:pPr>
        <w:pStyle w:val="ConsPlusNormal"/>
        <w:jc w:val="both"/>
      </w:pPr>
    </w:p>
    <w:p w:rsidR="005462AB" w:rsidRDefault="005462AB">
      <w:pPr>
        <w:pStyle w:val="ConsPlusNormal"/>
        <w:jc w:val="right"/>
        <w:outlineLvl w:val="1"/>
      </w:pPr>
      <w:r>
        <w:t>Таблица 2.1</w:t>
      </w:r>
    </w:p>
    <w:p w:rsidR="005462AB" w:rsidRDefault="005462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1118"/>
        <w:gridCol w:w="1304"/>
        <w:gridCol w:w="1644"/>
        <w:gridCol w:w="1417"/>
      </w:tblGrid>
      <w:tr w:rsidR="005462AB">
        <w:tc>
          <w:tcPr>
            <w:tcW w:w="567" w:type="dxa"/>
            <w:vMerge w:val="restart"/>
          </w:tcPr>
          <w:p w:rsidR="005462AB" w:rsidRDefault="005462AB">
            <w:pPr>
              <w:pStyle w:val="ConsPlusNormal"/>
              <w:jc w:val="center"/>
            </w:pPr>
            <w:r>
              <w:t>N п/п</w:t>
            </w:r>
          </w:p>
        </w:tc>
        <w:tc>
          <w:tcPr>
            <w:tcW w:w="3005" w:type="dxa"/>
            <w:vMerge w:val="restart"/>
          </w:tcPr>
          <w:p w:rsidR="005462AB" w:rsidRDefault="005462AB">
            <w:pPr>
              <w:pStyle w:val="ConsPlusNormal"/>
              <w:jc w:val="center"/>
            </w:pPr>
            <w:r>
              <w:t>Наименование сетевой организации с указанием необходимой валовой выручки (без учета оплаты потерь), НВВ которой учтена при утверждении (расчете) единых (котловых) тарифов на услуги по передаче электрической энергии в Алтайском крае</w:t>
            </w:r>
          </w:p>
        </w:tc>
        <w:tc>
          <w:tcPr>
            <w:tcW w:w="2422" w:type="dxa"/>
            <w:gridSpan w:val="2"/>
          </w:tcPr>
          <w:p w:rsidR="005462AB" w:rsidRDefault="005462AB">
            <w:pPr>
              <w:pStyle w:val="ConsPlusNormal"/>
              <w:jc w:val="center"/>
            </w:pPr>
            <w:r>
              <w:t>НВВ сетевых организаций без учета оплаты потерь, учтенная при утверждении (расчете) единых (котловых) тарифов на услуги по передаче электрической энергии в Алтайском крае</w:t>
            </w:r>
          </w:p>
        </w:tc>
        <w:tc>
          <w:tcPr>
            <w:tcW w:w="1644" w:type="dxa"/>
          </w:tcPr>
          <w:p w:rsidR="005462AB" w:rsidRDefault="005462AB">
            <w:pPr>
              <w:pStyle w:val="ConsPlusNormal"/>
              <w:jc w:val="center"/>
            </w:pPr>
            <w:r>
              <w:t>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w:t>
            </w:r>
          </w:p>
        </w:tc>
        <w:tc>
          <w:tcPr>
            <w:tcW w:w="1417" w:type="dxa"/>
          </w:tcPr>
          <w:p w:rsidR="005462AB" w:rsidRDefault="005462AB">
            <w:pPr>
              <w:pStyle w:val="ConsPlusNormal"/>
              <w:jc w:val="center"/>
            </w:pPr>
            <w:r>
              <w:t>Величина потерь электрической энергии при ее передаче по электрическим сетям, учтенная при формировании регулируемых цен (тарифов)</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Год</w:t>
            </w:r>
          </w:p>
        </w:tc>
        <w:tc>
          <w:tcPr>
            <w:tcW w:w="1304" w:type="dxa"/>
          </w:tcPr>
          <w:p w:rsidR="005462AB" w:rsidRDefault="005462AB">
            <w:pPr>
              <w:pStyle w:val="ConsPlusNormal"/>
              <w:jc w:val="center"/>
            </w:pPr>
            <w:r>
              <w:t>тыс. руб.</w:t>
            </w:r>
          </w:p>
        </w:tc>
        <w:tc>
          <w:tcPr>
            <w:tcW w:w="1644" w:type="dxa"/>
          </w:tcPr>
          <w:p w:rsidR="005462AB" w:rsidRDefault="005462AB">
            <w:pPr>
              <w:pStyle w:val="ConsPlusNormal"/>
              <w:jc w:val="center"/>
            </w:pPr>
            <w:r>
              <w:t>тыс. руб.</w:t>
            </w:r>
          </w:p>
        </w:tc>
        <w:tc>
          <w:tcPr>
            <w:tcW w:w="1417" w:type="dxa"/>
          </w:tcPr>
          <w:p w:rsidR="005462AB" w:rsidRDefault="005462AB">
            <w:pPr>
              <w:pStyle w:val="ConsPlusNormal"/>
              <w:jc w:val="center"/>
            </w:pPr>
            <w:r>
              <w:t>млн кВт.ч</w:t>
            </w:r>
          </w:p>
        </w:tc>
      </w:tr>
      <w:tr w:rsidR="005462AB">
        <w:tc>
          <w:tcPr>
            <w:tcW w:w="567" w:type="dxa"/>
            <w:vMerge w:val="restart"/>
          </w:tcPr>
          <w:p w:rsidR="005462AB" w:rsidRDefault="005462AB">
            <w:pPr>
              <w:pStyle w:val="ConsPlusNormal"/>
              <w:jc w:val="both"/>
            </w:pPr>
            <w:r>
              <w:t>1.</w:t>
            </w:r>
          </w:p>
        </w:tc>
        <w:tc>
          <w:tcPr>
            <w:tcW w:w="3005" w:type="dxa"/>
            <w:vMerge w:val="restart"/>
          </w:tcPr>
          <w:p w:rsidR="005462AB" w:rsidRDefault="005462AB">
            <w:pPr>
              <w:pStyle w:val="ConsPlusNormal"/>
              <w:jc w:val="both"/>
            </w:pPr>
            <w:r>
              <w:t>Общество с ограниченной ответственностью "Энергия-Транзит"</w:t>
            </w:r>
          </w:p>
        </w:tc>
        <w:tc>
          <w:tcPr>
            <w:tcW w:w="1118" w:type="dxa"/>
          </w:tcPr>
          <w:p w:rsidR="005462AB" w:rsidRDefault="005462AB">
            <w:pPr>
              <w:pStyle w:val="ConsPlusNormal"/>
              <w:jc w:val="center"/>
            </w:pPr>
            <w:r>
              <w:t>2020 &lt;*&gt;</w:t>
            </w:r>
          </w:p>
        </w:tc>
        <w:tc>
          <w:tcPr>
            <w:tcW w:w="1304" w:type="dxa"/>
          </w:tcPr>
          <w:p w:rsidR="005462AB" w:rsidRDefault="005462AB">
            <w:pPr>
              <w:pStyle w:val="ConsPlusNormal"/>
              <w:jc w:val="center"/>
            </w:pPr>
            <w:r>
              <w:t>32306,90</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9,64</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2021</w:t>
            </w:r>
          </w:p>
        </w:tc>
        <w:tc>
          <w:tcPr>
            <w:tcW w:w="1304" w:type="dxa"/>
          </w:tcPr>
          <w:p w:rsidR="005462AB" w:rsidRDefault="005462AB">
            <w:pPr>
              <w:pStyle w:val="ConsPlusNormal"/>
              <w:jc w:val="center"/>
            </w:pPr>
            <w:r>
              <w:t>53754,89</w:t>
            </w:r>
          </w:p>
        </w:tc>
        <w:tc>
          <w:tcPr>
            <w:tcW w:w="1644" w:type="dxa"/>
          </w:tcPr>
          <w:p w:rsidR="005462AB" w:rsidRDefault="005462AB">
            <w:pPr>
              <w:pStyle w:val="ConsPlusNormal"/>
              <w:jc w:val="center"/>
            </w:pPr>
            <w:r>
              <w:t>0,00</w:t>
            </w:r>
          </w:p>
        </w:tc>
        <w:tc>
          <w:tcPr>
            <w:tcW w:w="1417" w:type="dxa"/>
          </w:tcPr>
          <w:p w:rsidR="005462AB" w:rsidRDefault="005462AB">
            <w:pPr>
              <w:pStyle w:val="ConsPlusNormal"/>
              <w:jc w:val="center"/>
            </w:pPr>
            <w:r>
              <w:t>9,134</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2022</w:t>
            </w:r>
          </w:p>
        </w:tc>
        <w:tc>
          <w:tcPr>
            <w:tcW w:w="1304" w:type="dxa"/>
          </w:tcPr>
          <w:p w:rsidR="005462AB" w:rsidRDefault="005462AB">
            <w:pPr>
              <w:pStyle w:val="ConsPlusNormal"/>
              <w:jc w:val="center"/>
            </w:pPr>
            <w:r>
              <w:t>91123,46</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2023</w:t>
            </w:r>
          </w:p>
        </w:tc>
        <w:tc>
          <w:tcPr>
            <w:tcW w:w="1304" w:type="dxa"/>
          </w:tcPr>
          <w:p w:rsidR="005462AB" w:rsidRDefault="005462AB">
            <w:pPr>
              <w:pStyle w:val="ConsPlusNormal"/>
              <w:jc w:val="center"/>
            </w:pPr>
            <w:r>
              <w:t>90253,19</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2024 &lt;**&gt;</w:t>
            </w:r>
          </w:p>
        </w:tc>
        <w:tc>
          <w:tcPr>
            <w:tcW w:w="1304" w:type="dxa"/>
          </w:tcPr>
          <w:p w:rsidR="005462AB" w:rsidRDefault="005462AB">
            <w:pPr>
              <w:pStyle w:val="ConsPlusNormal"/>
              <w:jc w:val="center"/>
            </w:pPr>
            <w:r>
              <w:t>89402,42</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val="restart"/>
          </w:tcPr>
          <w:p w:rsidR="005462AB" w:rsidRDefault="005462AB">
            <w:pPr>
              <w:pStyle w:val="ConsPlusNormal"/>
              <w:jc w:val="both"/>
            </w:pPr>
            <w:r>
              <w:t>2.</w:t>
            </w:r>
          </w:p>
        </w:tc>
        <w:tc>
          <w:tcPr>
            <w:tcW w:w="3005" w:type="dxa"/>
            <w:vMerge w:val="restart"/>
          </w:tcPr>
          <w:p w:rsidR="005462AB" w:rsidRDefault="005462AB">
            <w:pPr>
              <w:pStyle w:val="ConsPlusNormal"/>
              <w:jc w:val="both"/>
            </w:pPr>
            <w:r>
              <w:t>Общество с ограниченной ответственностью "Барнаульская сетевая компания"</w:t>
            </w:r>
          </w:p>
        </w:tc>
        <w:tc>
          <w:tcPr>
            <w:tcW w:w="1118" w:type="dxa"/>
          </w:tcPr>
          <w:p w:rsidR="005462AB" w:rsidRDefault="005462AB">
            <w:pPr>
              <w:pStyle w:val="ConsPlusNormal"/>
              <w:jc w:val="center"/>
            </w:pPr>
            <w:r>
              <w:t>2020 &lt;*&gt;</w:t>
            </w:r>
          </w:p>
        </w:tc>
        <w:tc>
          <w:tcPr>
            <w:tcW w:w="1304" w:type="dxa"/>
          </w:tcPr>
          <w:p w:rsidR="005462AB" w:rsidRDefault="005462AB">
            <w:pPr>
              <w:pStyle w:val="ConsPlusNormal"/>
              <w:jc w:val="center"/>
            </w:pPr>
            <w:r>
              <w:t>562136,10</w:t>
            </w:r>
          </w:p>
        </w:tc>
        <w:tc>
          <w:tcPr>
            <w:tcW w:w="1644" w:type="dxa"/>
          </w:tcPr>
          <w:p w:rsidR="005462AB" w:rsidRDefault="005462AB">
            <w:pPr>
              <w:pStyle w:val="ConsPlusNormal"/>
              <w:jc w:val="center"/>
            </w:pPr>
            <w:r>
              <w:t>8138,29</w:t>
            </w:r>
          </w:p>
        </w:tc>
        <w:tc>
          <w:tcPr>
            <w:tcW w:w="1417" w:type="dxa"/>
          </w:tcPr>
          <w:p w:rsidR="005462AB" w:rsidRDefault="005462AB">
            <w:pPr>
              <w:pStyle w:val="ConsPlusNormal"/>
              <w:jc w:val="center"/>
            </w:pPr>
            <w:r>
              <w:t>153,67</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2021</w:t>
            </w:r>
          </w:p>
        </w:tc>
        <w:tc>
          <w:tcPr>
            <w:tcW w:w="1304" w:type="dxa"/>
          </w:tcPr>
          <w:p w:rsidR="005462AB" w:rsidRDefault="005462AB">
            <w:pPr>
              <w:pStyle w:val="ConsPlusNormal"/>
              <w:jc w:val="center"/>
            </w:pPr>
            <w:r>
              <w:t>520632,02</w:t>
            </w:r>
          </w:p>
        </w:tc>
        <w:tc>
          <w:tcPr>
            <w:tcW w:w="1644" w:type="dxa"/>
          </w:tcPr>
          <w:p w:rsidR="005462AB" w:rsidRDefault="005462AB">
            <w:pPr>
              <w:pStyle w:val="ConsPlusNormal"/>
              <w:jc w:val="center"/>
            </w:pPr>
            <w:r>
              <w:t>17748,23</w:t>
            </w:r>
          </w:p>
        </w:tc>
        <w:tc>
          <w:tcPr>
            <w:tcW w:w="1417" w:type="dxa"/>
          </w:tcPr>
          <w:p w:rsidR="005462AB" w:rsidRDefault="005462AB">
            <w:pPr>
              <w:pStyle w:val="ConsPlusNormal"/>
              <w:jc w:val="center"/>
            </w:pPr>
            <w:r>
              <w:t>156,112</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2022</w:t>
            </w:r>
          </w:p>
        </w:tc>
        <w:tc>
          <w:tcPr>
            <w:tcW w:w="1304" w:type="dxa"/>
          </w:tcPr>
          <w:p w:rsidR="005462AB" w:rsidRDefault="005462AB">
            <w:pPr>
              <w:pStyle w:val="ConsPlusNormal"/>
              <w:jc w:val="center"/>
            </w:pPr>
            <w:r>
              <w:t>532695,21</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2023</w:t>
            </w:r>
          </w:p>
        </w:tc>
        <w:tc>
          <w:tcPr>
            <w:tcW w:w="1304" w:type="dxa"/>
          </w:tcPr>
          <w:p w:rsidR="005462AB" w:rsidRDefault="005462AB">
            <w:pPr>
              <w:pStyle w:val="ConsPlusNormal"/>
              <w:jc w:val="center"/>
            </w:pPr>
            <w:r>
              <w:t>540355,59</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2024 &lt;**&gt;</w:t>
            </w:r>
          </w:p>
        </w:tc>
        <w:tc>
          <w:tcPr>
            <w:tcW w:w="1304" w:type="dxa"/>
          </w:tcPr>
          <w:p w:rsidR="005462AB" w:rsidRDefault="005462AB">
            <w:pPr>
              <w:pStyle w:val="ConsPlusNormal"/>
              <w:jc w:val="center"/>
            </w:pPr>
            <w:r>
              <w:t>548163,05</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val="restart"/>
          </w:tcPr>
          <w:p w:rsidR="005462AB" w:rsidRDefault="005462AB">
            <w:pPr>
              <w:pStyle w:val="ConsPlusNormal"/>
              <w:jc w:val="both"/>
            </w:pPr>
            <w:r>
              <w:lastRenderedPageBreak/>
              <w:t>3.</w:t>
            </w:r>
          </w:p>
        </w:tc>
        <w:tc>
          <w:tcPr>
            <w:tcW w:w="3005" w:type="dxa"/>
            <w:vMerge w:val="restart"/>
          </w:tcPr>
          <w:p w:rsidR="005462AB" w:rsidRDefault="005462AB">
            <w:pPr>
              <w:pStyle w:val="ConsPlusNormal"/>
              <w:jc w:val="both"/>
            </w:pPr>
            <w:r>
              <w:t>Общество с ограниченной ответственностью "Южно-Сибирская энергетическая компания"</w:t>
            </w:r>
          </w:p>
        </w:tc>
        <w:tc>
          <w:tcPr>
            <w:tcW w:w="1118" w:type="dxa"/>
          </w:tcPr>
          <w:p w:rsidR="005462AB" w:rsidRDefault="005462AB">
            <w:pPr>
              <w:pStyle w:val="ConsPlusNormal"/>
              <w:jc w:val="center"/>
            </w:pPr>
            <w:r>
              <w:t>2020 &lt;*&gt;</w:t>
            </w:r>
          </w:p>
        </w:tc>
        <w:tc>
          <w:tcPr>
            <w:tcW w:w="1304" w:type="dxa"/>
          </w:tcPr>
          <w:p w:rsidR="005462AB" w:rsidRDefault="005462AB">
            <w:pPr>
              <w:pStyle w:val="ConsPlusNormal"/>
              <w:jc w:val="center"/>
            </w:pPr>
            <w:r>
              <w:t>47523,88</w:t>
            </w:r>
          </w:p>
        </w:tc>
        <w:tc>
          <w:tcPr>
            <w:tcW w:w="1644" w:type="dxa"/>
          </w:tcPr>
          <w:p w:rsidR="005462AB" w:rsidRDefault="005462AB">
            <w:pPr>
              <w:pStyle w:val="ConsPlusNormal"/>
              <w:jc w:val="center"/>
            </w:pPr>
            <w:r>
              <w:t>806,500</w:t>
            </w:r>
          </w:p>
        </w:tc>
        <w:tc>
          <w:tcPr>
            <w:tcW w:w="1417" w:type="dxa"/>
          </w:tcPr>
          <w:p w:rsidR="005462AB" w:rsidRDefault="005462AB">
            <w:pPr>
              <w:pStyle w:val="ConsPlusNormal"/>
              <w:jc w:val="center"/>
            </w:pPr>
            <w:r>
              <w:t>17,76</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2021</w:t>
            </w:r>
          </w:p>
        </w:tc>
        <w:tc>
          <w:tcPr>
            <w:tcW w:w="1304" w:type="dxa"/>
          </w:tcPr>
          <w:p w:rsidR="005462AB" w:rsidRDefault="005462AB">
            <w:pPr>
              <w:pStyle w:val="ConsPlusNormal"/>
              <w:jc w:val="center"/>
            </w:pPr>
            <w:r>
              <w:t>53529,90</w:t>
            </w:r>
          </w:p>
        </w:tc>
        <w:tc>
          <w:tcPr>
            <w:tcW w:w="1644" w:type="dxa"/>
          </w:tcPr>
          <w:p w:rsidR="005462AB" w:rsidRDefault="005462AB">
            <w:pPr>
              <w:pStyle w:val="ConsPlusNormal"/>
              <w:jc w:val="center"/>
            </w:pPr>
            <w:r>
              <w:t>601,63</w:t>
            </w:r>
          </w:p>
        </w:tc>
        <w:tc>
          <w:tcPr>
            <w:tcW w:w="1417" w:type="dxa"/>
          </w:tcPr>
          <w:p w:rsidR="005462AB" w:rsidRDefault="005462AB">
            <w:pPr>
              <w:pStyle w:val="ConsPlusNormal"/>
              <w:jc w:val="center"/>
            </w:pPr>
            <w:r>
              <w:t>12,307</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2022</w:t>
            </w:r>
          </w:p>
        </w:tc>
        <w:tc>
          <w:tcPr>
            <w:tcW w:w="1304" w:type="dxa"/>
          </w:tcPr>
          <w:p w:rsidR="005462AB" w:rsidRDefault="005462AB">
            <w:pPr>
              <w:pStyle w:val="ConsPlusNormal"/>
              <w:jc w:val="center"/>
            </w:pPr>
            <w:r>
              <w:t>46461,82</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2023</w:t>
            </w:r>
          </w:p>
        </w:tc>
        <w:tc>
          <w:tcPr>
            <w:tcW w:w="1304" w:type="dxa"/>
          </w:tcPr>
          <w:p w:rsidR="005462AB" w:rsidRDefault="005462AB">
            <w:pPr>
              <w:pStyle w:val="ConsPlusNormal"/>
              <w:jc w:val="center"/>
            </w:pPr>
            <w:r>
              <w:t>47253,82</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2024 &lt;**&gt;</w:t>
            </w:r>
          </w:p>
        </w:tc>
        <w:tc>
          <w:tcPr>
            <w:tcW w:w="1304" w:type="dxa"/>
          </w:tcPr>
          <w:p w:rsidR="005462AB" w:rsidRDefault="005462AB">
            <w:pPr>
              <w:pStyle w:val="ConsPlusNormal"/>
              <w:jc w:val="center"/>
            </w:pPr>
            <w:r>
              <w:t>48069,27</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val="restart"/>
          </w:tcPr>
          <w:p w:rsidR="005462AB" w:rsidRDefault="005462AB">
            <w:pPr>
              <w:pStyle w:val="ConsPlusNormal"/>
              <w:jc w:val="both"/>
            </w:pPr>
            <w:r>
              <w:t>4.</w:t>
            </w:r>
          </w:p>
        </w:tc>
        <w:tc>
          <w:tcPr>
            <w:tcW w:w="3005" w:type="dxa"/>
            <w:vMerge w:val="restart"/>
          </w:tcPr>
          <w:p w:rsidR="005462AB" w:rsidRDefault="005462AB">
            <w:pPr>
              <w:pStyle w:val="ConsPlusNormal"/>
              <w:jc w:val="both"/>
            </w:pPr>
            <w:r>
              <w:t>Общество с ограниченной ответственностью "Заринская сетевая компания"</w:t>
            </w:r>
          </w:p>
        </w:tc>
        <w:tc>
          <w:tcPr>
            <w:tcW w:w="1118" w:type="dxa"/>
          </w:tcPr>
          <w:p w:rsidR="005462AB" w:rsidRDefault="005462AB">
            <w:pPr>
              <w:pStyle w:val="ConsPlusNormal"/>
              <w:jc w:val="center"/>
            </w:pPr>
            <w:r>
              <w:t>2020 &lt;*&gt;</w:t>
            </w:r>
          </w:p>
        </w:tc>
        <w:tc>
          <w:tcPr>
            <w:tcW w:w="1304" w:type="dxa"/>
          </w:tcPr>
          <w:p w:rsidR="005462AB" w:rsidRDefault="005462AB">
            <w:pPr>
              <w:pStyle w:val="ConsPlusNormal"/>
              <w:jc w:val="center"/>
            </w:pPr>
            <w:r>
              <w:t>152590,60</w:t>
            </w:r>
          </w:p>
        </w:tc>
        <w:tc>
          <w:tcPr>
            <w:tcW w:w="1644" w:type="dxa"/>
          </w:tcPr>
          <w:p w:rsidR="005462AB" w:rsidRDefault="005462AB">
            <w:pPr>
              <w:pStyle w:val="ConsPlusNormal"/>
              <w:jc w:val="center"/>
            </w:pPr>
            <w:r>
              <w:t>3836,31</w:t>
            </w:r>
          </w:p>
        </w:tc>
        <w:tc>
          <w:tcPr>
            <w:tcW w:w="1417" w:type="dxa"/>
          </w:tcPr>
          <w:p w:rsidR="005462AB" w:rsidRDefault="005462AB">
            <w:pPr>
              <w:pStyle w:val="ConsPlusNormal"/>
              <w:jc w:val="center"/>
            </w:pPr>
            <w:r>
              <w:t>36,02</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2021</w:t>
            </w:r>
          </w:p>
        </w:tc>
        <w:tc>
          <w:tcPr>
            <w:tcW w:w="1304" w:type="dxa"/>
          </w:tcPr>
          <w:p w:rsidR="005462AB" w:rsidRDefault="005462AB">
            <w:pPr>
              <w:pStyle w:val="ConsPlusNormal"/>
              <w:jc w:val="center"/>
            </w:pPr>
            <w:r>
              <w:t>173553,71</w:t>
            </w:r>
          </w:p>
        </w:tc>
        <w:tc>
          <w:tcPr>
            <w:tcW w:w="1644" w:type="dxa"/>
          </w:tcPr>
          <w:p w:rsidR="005462AB" w:rsidRDefault="005462AB">
            <w:pPr>
              <w:pStyle w:val="ConsPlusNormal"/>
              <w:jc w:val="center"/>
            </w:pPr>
            <w:r>
              <w:t>5840,54</w:t>
            </w:r>
          </w:p>
        </w:tc>
        <w:tc>
          <w:tcPr>
            <w:tcW w:w="1417" w:type="dxa"/>
          </w:tcPr>
          <w:p w:rsidR="005462AB" w:rsidRDefault="005462AB">
            <w:pPr>
              <w:pStyle w:val="ConsPlusNormal"/>
              <w:jc w:val="center"/>
            </w:pPr>
            <w:r>
              <w:t>35,837</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2022</w:t>
            </w:r>
          </w:p>
        </w:tc>
        <w:tc>
          <w:tcPr>
            <w:tcW w:w="1304" w:type="dxa"/>
          </w:tcPr>
          <w:p w:rsidR="005462AB" w:rsidRDefault="005462AB">
            <w:pPr>
              <w:pStyle w:val="ConsPlusNormal"/>
              <w:jc w:val="center"/>
            </w:pPr>
            <w:r>
              <w:t>149524,60</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2023</w:t>
            </w:r>
          </w:p>
        </w:tc>
        <w:tc>
          <w:tcPr>
            <w:tcW w:w="1304" w:type="dxa"/>
          </w:tcPr>
          <w:p w:rsidR="005462AB" w:rsidRDefault="005462AB">
            <w:pPr>
              <w:pStyle w:val="ConsPlusNormal"/>
              <w:jc w:val="center"/>
            </w:pPr>
            <w:r>
              <w:t>151507,31</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2024 &lt;**&gt;</w:t>
            </w:r>
          </w:p>
        </w:tc>
        <w:tc>
          <w:tcPr>
            <w:tcW w:w="1304" w:type="dxa"/>
          </w:tcPr>
          <w:p w:rsidR="005462AB" w:rsidRDefault="005462AB">
            <w:pPr>
              <w:pStyle w:val="ConsPlusNormal"/>
              <w:jc w:val="center"/>
            </w:pPr>
            <w:r>
              <w:t>153528,09</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val="restart"/>
          </w:tcPr>
          <w:p w:rsidR="005462AB" w:rsidRDefault="005462AB">
            <w:pPr>
              <w:pStyle w:val="ConsPlusNormal"/>
              <w:jc w:val="both"/>
            </w:pPr>
            <w:r>
              <w:t>5.</w:t>
            </w:r>
          </w:p>
        </w:tc>
        <w:tc>
          <w:tcPr>
            <w:tcW w:w="3005" w:type="dxa"/>
            <w:vMerge w:val="restart"/>
          </w:tcPr>
          <w:p w:rsidR="005462AB" w:rsidRDefault="005462AB">
            <w:pPr>
              <w:pStyle w:val="ConsPlusNormal"/>
              <w:jc w:val="both"/>
            </w:pPr>
            <w:r>
              <w:t>Муниципальное унитарное многоотраслевое коммунальное предприятие</w:t>
            </w:r>
          </w:p>
        </w:tc>
        <w:tc>
          <w:tcPr>
            <w:tcW w:w="1118" w:type="dxa"/>
          </w:tcPr>
          <w:p w:rsidR="005462AB" w:rsidRDefault="005462AB">
            <w:pPr>
              <w:pStyle w:val="ConsPlusNormal"/>
              <w:jc w:val="center"/>
            </w:pPr>
            <w:r>
              <w:t>2020 &lt;*&gt;</w:t>
            </w:r>
          </w:p>
        </w:tc>
        <w:tc>
          <w:tcPr>
            <w:tcW w:w="1304" w:type="dxa"/>
          </w:tcPr>
          <w:p w:rsidR="005462AB" w:rsidRDefault="005462AB">
            <w:pPr>
              <w:pStyle w:val="ConsPlusNormal"/>
              <w:jc w:val="center"/>
            </w:pPr>
            <w:r>
              <w:t>6858,84</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0,89</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2021</w:t>
            </w:r>
          </w:p>
        </w:tc>
        <w:tc>
          <w:tcPr>
            <w:tcW w:w="1304" w:type="dxa"/>
          </w:tcPr>
          <w:p w:rsidR="005462AB" w:rsidRDefault="005462AB">
            <w:pPr>
              <w:pStyle w:val="ConsPlusNormal"/>
              <w:jc w:val="center"/>
            </w:pPr>
            <w:r>
              <w:t>5974,49</w:t>
            </w:r>
          </w:p>
        </w:tc>
        <w:tc>
          <w:tcPr>
            <w:tcW w:w="1644" w:type="dxa"/>
          </w:tcPr>
          <w:p w:rsidR="005462AB" w:rsidRDefault="005462AB">
            <w:pPr>
              <w:pStyle w:val="ConsPlusNormal"/>
              <w:jc w:val="center"/>
            </w:pPr>
            <w:r>
              <w:t>0,00</w:t>
            </w:r>
          </w:p>
        </w:tc>
        <w:tc>
          <w:tcPr>
            <w:tcW w:w="1417" w:type="dxa"/>
          </w:tcPr>
          <w:p w:rsidR="005462AB" w:rsidRDefault="005462AB">
            <w:pPr>
              <w:pStyle w:val="ConsPlusNormal"/>
              <w:jc w:val="center"/>
            </w:pPr>
            <w:r>
              <w:t>0,909</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2022</w:t>
            </w:r>
          </w:p>
        </w:tc>
        <w:tc>
          <w:tcPr>
            <w:tcW w:w="1304" w:type="dxa"/>
          </w:tcPr>
          <w:p w:rsidR="005462AB" w:rsidRDefault="005462AB">
            <w:pPr>
              <w:pStyle w:val="ConsPlusNormal"/>
              <w:jc w:val="center"/>
            </w:pPr>
            <w:r>
              <w:t>8228,82</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2023</w:t>
            </w:r>
          </w:p>
        </w:tc>
        <w:tc>
          <w:tcPr>
            <w:tcW w:w="1304" w:type="dxa"/>
          </w:tcPr>
          <w:p w:rsidR="005462AB" w:rsidRDefault="005462AB">
            <w:pPr>
              <w:pStyle w:val="ConsPlusNormal"/>
              <w:jc w:val="center"/>
            </w:pPr>
            <w:r>
              <w:t>8113,71</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2024 &lt;**&gt;</w:t>
            </w:r>
          </w:p>
        </w:tc>
        <w:tc>
          <w:tcPr>
            <w:tcW w:w="1304" w:type="dxa"/>
          </w:tcPr>
          <w:p w:rsidR="005462AB" w:rsidRDefault="005462AB">
            <w:pPr>
              <w:pStyle w:val="ConsPlusNormal"/>
              <w:jc w:val="center"/>
            </w:pPr>
            <w:r>
              <w:t>7999,99</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val="restart"/>
          </w:tcPr>
          <w:p w:rsidR="005462AB" w:rsidRDefault="005462AB">
            <w:pPr>
              <w:pStyle w:val="ConsPlusNormal"/>
              <w:jc w:val="both"/>
            </w:pPr>
            <w:r>
              <w:t>6.</w:t>
            </w:r>
          </w:p>
        </w:tc>
        <w:tc>
          <w:tcPr>
            <w:tcW w:w="3005" w:type="dxa"/>
            <w:vMerge w:val="restart"/>
          </w:tcPr>
          <w:p w:rsidR="005462AB" w:rsidRDefault="005462AB">
            <w:pPr>
              <w:pStyle w:val="ConsPlusNormal"/>
              <w:jc w:val="both"/>
            </w:pPr>
            <w:r>
              <w:t>Акционерное общество "Оборонэнерго"</w:t>
            </w:r>
          </w:p>
        </w:tc>
        <w:tc>
          <w:tcPr>
            <w:tcW w:w="1118" w:type="dxa"/>
          </w:tcPr>
          <w:p w:rsidR="005462AB" w:rsidRDefault="005462AB">
            <w:pPr>
              <w:pStyle w:val="ConsPlusNormal"/>
              <w:jc w:val="center"/>
            </w:pPr>
            <w:r>
              <w:t>2020 &lt;*&gt;</w:t>
            </w:r>
          </w:p>
        </w:tc>
        <w:tc>
          <w:tcPr>
            <w:tcW w:w="1304" w:type="dxa"/>
          </w:tcPr>
          <w:p w:rsidR="005462AB" w:rsidRDefault="005462AB">
            <w:pPr>
              <w:pStyle w:val="ConsPlusNormal"/>
              <w:jc w:val="center"/>
            </w:pPr>
            <w:r>
              <w:t>39233,16</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0,00</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2021</w:t>
            </w:r>
          </w:p>
        </w:tc>
        <w:tc>
          <w:tcPr>
            <w:tcW w:w="1304" w:type="dxa"/>
          </w:tcPr>
          <w:p w:rsidR="005462AB" w:rsidRDefault="005462AB">
            <w:pPr>
              <w:pStyle w:val="ConsPlusNormal"/>
              <w:jc w:val="center"/>
            </w:pPr>
            <w:r>
              <w:t>41578,02</w:t>
            </w:r>
          </w:p>
        </w:tc>
        <w:tc>
          <w:tcPr>
            <w:tcW w:w="1644" w:type="dxa"/>
          </w:tcPr>
          <w:p w:rsidR="005462AB" w:rsidRDefault="005462AB">
            <w:pPr>
              <w:pStyle w:val="ConsPlusNormal"/>
              <w:jc w:val="center"/>
            </w:pPr>
            <w:r>
              <w:t>397,98</w:t>
            </w:r>
          </w:p>
        </w:tc>
        <w:tc>
          <w:tcPr>
            <w:tcW w:w="1417" w:type="dxa"/>
          </w:tcPr>
          <w:p w:rsidR="005462AB" w:rsidRDefault="005462AB">
            <w:pPr>
              <w:pStyle w:val="ConsPlusNormal"/>
              <w:jc w:val="center"/>
            </w:pPr>
            <w:r>
              <w:t>4,196</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2022</w:t>
            </w:r>
          </w:p>
        </w:tc>
        <w:tc>
          <w:tcPr>
            <w:tcW w:w="1304" w:type="dxa"/>
          </w:tcPr>
          <w:p w:rsidR="005462AB" w:rsidRDefault="005462AB">
            <w:pPr>
              <w:pStyle w:val="ConsPlusNormal"/>
              <w:jc w:val="center"/>
            </w:pPr>
            <w:r>
              <w:t>49451,01</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2023</w:t>
            </w:r>
          </w:p>
        </w:tc>
        <w:tc>
          <w:tcPr>
            <w:tcW w:w="1304" w:type="dxa"/>
          </w:tcPr>
          <w:p w:rsidR="005462AB" w:rsidRDefault="005462AB">
            <w:pPr>
              <w:pStyle w:val="ConsPlusNormal"/>
              <w:jc w:val="center"/>
            </w:pPr>
            <w:r>
              <w:t>48941,59</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2024 &lt;**&gt;</w:t>
            </w:r>
          </w:p>
        </w:tc>
        <w:tc>
          <w:tcPr>
            <w:tcW w:w="1304" w:type="dxa"/>
          </w:tcPr>
          <w:p w:rsidR="005462AB" w:rsidRDefault="005462AB">
            <w:pPr>
              <w:pStyle w:val="ConsPlusNormal"/>
              <w:jc w:val="center"/>
            </w:pPr>
            <w:r>
              <w:t>48438,29</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val="restart"/>
          </w:tcPr>
          <w:p w:rsidR="005462AB" w:rsidRDefault="005462AB">
            <w:pPr>
              <w:pStyle w:val="ConsPlusNormal"/>
              <w:jc w:val="both"/>
            </w:pPr>
            <w:r>
              <w:t>7.</w:t>
            </w:r>
          </w:p>
        </w:tc>
        <w:tc>
          <w:tcPr>
            <w:tcW w:w="3005" w:type="dxa"/>
            <w:vMerge w:val="restart"/>
          </w:tcPr>
          <w:p w:rsidR="005462AB" w:rsidRDefault="005462AB">
            <w:pPr>
              <w:pStyle w:val="ConsPlusNormal"/>
              <w:jc w:val="both"/>
            </w:pPr>
            <w:r>
              <w:t>Открытое акционерное общество "Российские железные дороги"</w:t>
            </w:r>
          </w:p>
        </w:tc>
        <w:tc>
          <w:tcPr>
            <w:tcW w:w="1118" w:type="dxa"/>
          </w:tcPr>
          <w:p w:rsidR="005462AB" w:rsidRDefault="005462AB">
            <w:pPr>
              <w:pStyle w:val="ConsPlusNormal"/>
              <w:jc w:val="center"/>
            </w:pPr>
            <w:r>
              <w:t>2020 &lt;*&gt;</w:t>
            </w:r>
          </w:p>
        </w:tc>
        <w:tc>
          <w:tcPr>
            <w:tcW w:w="1304" w:type="dxa"/>
          </w:tcPr>
          <w:p w:rsidR="005462AB" w:rsidRDefault="005462AB">
            <w:pPr>
              <w:pStyle w:val="ConsPlusNormal"/>
              <w:jc w:val="center"/>
            </w:pPr>
            <w:r>
              <w:t>138548,88</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11,99</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2021</w:t>
            </w:r>
          </w:p>
        </w:tc>
        <w:tc>
          <w:tcPr>
            <w:tcW w:w="1304" w:type="dxa"/>
          </w:tcPr>
          <w:p w:rsidR="005462AB" w:rsidRDefault="005462AB">
            <w:pPr>
              <w:pStyle w:val="ConsPlusNormal"/>
              <w:jc w:val="center"/>
            </w:pPr>
            <w:r>
              <w:t>181229,57</w:t>
            </w:r>
          </w:p>
        </w:tc>
        <w:tc>
          <w:tcPr>
            <w:tcW w:w="1644" w:type="dxa"/>
          </w:tcPr>
          <w:p w:rsidR="005462AB" w:rsidRDefault="005462AB">
            <w:pPr>
              <w:pStyle w:val="ConsPlusNormal"/>
              <w:jc w:val="center"/>
            </w:pPr>
            <w:r>
              <w:t>769,53</w:t>
            </w:r>
          </w:p>
        </w:tc>
        <w:tc>
          <w:tcPr>
            <w:tcW w:w="1417" w:type="dxa"/>
          </w:tcPr>
          <w:p w:rsidR="005462AB" w:rsidRDefault="005462AB">
            <w:pPr>
              <w:pStyle w:val="ConsPlusNormal"/>
              <w:jc w:val="center"/>
            </w:pPr>
            <w:r>
              <w:t>12,011</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2022</w:t>
            </w:r>
          </w:p>
        </w:tc>
        <w:tc>
          <w:tcPr>
            <w:tcW w:w="1304" w:type="dxa"/>
          </w:tcPr>
          <w:p w:rsidR="005462AB" w:rsidRDefault="005462AB">
            <w:pPr>
              <w:pStyle w:val="ConsPlusNormal"/>
              <w:jc w:val="center"/>
            </w:pPr>
            <w:r>
              <w:t>205846,83</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2023</w:t>
            </w:r>
          </w:p>
        </w:tc>
        <w:tc>
          <w:tcPr>
            <w:tcW w:w="1304" w:type="dxa"/>
          </w:tcPr>
          <w:p w:rsidR="005462AB" w:rsidRDefault="005462AB">
            <w:pPr>
              <w:pStyle w:val="ConsPlusNormal"/>
              <w:jc w:val="center"/>
            </w:pPr>
            <w:r>
              <w:t>207957,82</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2024 &lt;**&gt;</w:t>
            </w:r>
          </w:p>
        </w:tc>
        <w:tc>
          <w:tcPr>
            <w:tcW w:w="1304" w:type="dxa"/>
          </w:tcPr>
          <w:p w:rsidR="005462AB" w:rsidRDefault="005462AB">
            <w:pPr>
              <w:pStyle w:val="ConsPlusNormal"/>
              <w:jc w:val="center"/>
            </w:pPr>
            <w:r>
              <w:t>210131,30</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val="restart"/>
          </w:tcPr>
          <w:p w:rsidR="005462AB" w:rsidRDefault="005462AB">
            <w:pPr>
              <w:pStyle w:val="ConsPlusNormal"/>
              <w:jc w:val="both"/>
            </w:pPr>
            <w:r>
              <w:t>8.</w:t>
            </w:r>
          </w:p>
        </w:tc>
        <w:tc>
          <w:tcPr>
            <w:tcW w:w="3005" w:type="dxa"/>
            <w:vMerge w:val="restart"/>
          </w:tcPr>
          <w:p w:rsidR="005462AB" w:rsidRDefault="005462AB">
            <w:pPr>
              <w:pStyle w:val="ConsPlusNormal"/>
              <w:jc w:val="both"/>
            </w:pPr>
            <w:r>
              <w:t>Акционерное общество "Сетевая компания Алтайкрайэнерго"</w:t>
            </w:r>
          </w:p>
        </w:tc>
        <w:tc>
          <w:tcPr>
            <w:tcW w:w="1118" w:type="dxa"/>
          </w:tcPr>
          <w:p w:rsidR="005462AB" w:rsidRDefault="005462AB">
            <w:pPr>
              <w:pStyle w:val="ConsPlusNormal"/>
              <w:jc w:val="center"/>
            </w:pPr>
            <w:r>
              <w:t>2020 &lt;*&gt;</w:t>
            </w:r>
          </w:p>
        </w:tc>
        <w:tc>
          <w:tcPr>
            <w:tcW w:w="1304" w:type="dxa"/>
          </w:tcPr>
          <w:p w:rsidR="005462AB" w:rsidRDefault="005462AB">
            <w:pPr>
              <w:pStyle w:val="ConsPlusNormal"/>
              <w:jc w:val="center"/>
            </w:pPr>
            <w:r>
              <w:t>1775313,64</w:t>
            </w:r>
          </w:p>
        </w:tc>
        <w:tc>
          <w:tcPr>
            <w:tcW w:w="1644" w:type="dxa"/>
          </w:tcPr>
          <w:p w:rsidR="005462AB" w:rsidRDefault="005462AB">
            <w:pPr>
              <w:pStyle w:val="ConsPlusNormal"/>
              <w:jc w:val="center"/>
            </w:pPr>
            <w:r>
              <w:t>39205,5</w:t>
            </w:r>
          </w:p>
        </w:tc>
        <w:tc>
          <w:tcPr>
            <w:tcW w:w="1417" w:type="dxa"/>
          </w:tcPr>
          <w:p w:rsidR="005462AB" w:rsidRDefault="005462AB">
            <w:pPr>
              <w:pStyle w:val="ConsPlusNormal"/>
              <w:jc w:val="center"/>
            </w:pPr>
            <w:r>
              <w:t>264,99</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2021</w:t>
            </w:r>
          </w:p>
        </w:tc>
        <w:tc>
          <w:tcPr>
            <w:tcW w:w="1304" w:type="dxa"/>
          </w:tcPr>
          <w:p w:rsidR="005462AB" w:rsidRDefault="005462AB">
            <w:pPr>
              <w:pStyle w:val="ConsPlusNormal"/>
              <w:jc w:val="center"/>
            </w:pPr>
            <w:r>
              <w:t>1895244,70</w:t>
            </w:r>
          </w:p>
        </w:tc>
        <w:tc>
          <w:tcPr>
            <w:tcW w:w="1644" w:type="dxa"/>
          </w:tcPr>
          <w:p w:rsidR="005462AB" w:rsidRDefault="005462AB">
            <w:pPr>
              <w:pStyle w:val="ConsPlusNormal"/>
              <w:jc w:val="center"/>
            </w:pPr>
            <w:r>
              <w:t>113480,90</w:t>
            </w:r>
          </w:p>
        </w:tc>
        <w:tc>
          <w:tcPr>
            <w:tcW w:w="1417" w:type="dxa"/>
          </w:tcPr>
          <w:p w:rsidR="005462AB" w:rsidRDefault="005462AB">
            <w:pPr>
              <w:pStyle w:val="ConsPlusNormal"/>
              <w:jc w:val="center"/>
            </w:pPr>
            <w:r>
              <w:t>187,752</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2022</w:t>
            </w:r>
          </w:p>
        </w:tc>
        <w:tc>
          <w:tcPr>
            <w:tcW w:w="1304" w:type="dxa"/>
          </w:tcPr>
          <w:p w:rsidR="005462AB" w:rsidRDefault="005462AB">
            <w:pPr>
              <w:pStyle w:val="ConsPlusNormal"/>
              <w:jc w:val="center"/>
            </w:pPr>
            <w:r>
              <w:t>1503175,26</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2023</w:t>
            </w:r>
          </w:p>
        </w:tc>
        <w:tc>
          <w:tcPr>
            <w:tcW w:w="1304" w:type="dxa"/>
          </w:tcPr>
          <w:p w:rsidR="005462AB" w:rsidRDefault="005462AB">
            <w:pPr>
              <w:pStyle w:val="ConsPlusNormal"/>
              <w:jc w:val="center"/>
            </w:pPr>
            <w:r>
              <w:t>1501574,22</w:t>
            </w:r>
          </w:p>
        </w:tc>
        <w:tc>
          <w:tcPr>
            <w:tcW w:w="1644" w:type="dxa"/>
          </w:tcPr>
          <w:p w:rsidR="005462AB" w:rsidRDefault="005462AB">
            <w:pPr>
              <w:pStyle w:val="ConsPlusNormal"/>
            </w:pPr>
          </w:p>
        </w:tc>
        <w:tc>
          <w:tcPr>
            <w:tcW w:w="1417" w:type="dxa"/>
          </w:tcPr>
          <w:p w:rsidR="005462AB" w:rsidRDefault="005462AB">
            <w:pPr>
              <w:pStyle w:val="ConsPlusNormal"/>
              <w:jc w:val="center"/>
            </w:pPr>
            <w:r>
              <w:t>-</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2024 &lt;**&gt;</w:t>
            </w:r>
          </w:p>
        </w:tc>
        <w:tc>
          <w:tcPr>
            <w:tcW w:w="1304" w:type="dxa"/>
          </w:tcPr>
          <w:p w:rsidR="005462AB" w:rsidRDefault="005462AB">
            <w:pPr>
              <w:pStyle w:val="ConsPlusNormal"/>
              <w:jc w:val="center"/>
            </w:pPr>
            <w:r>
              <w:t>1499975,74</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val="restart"/>
          </w:tcPr>
          <w:p w:rsidR="005462AB" w:rsidRDefault="005462AB">
            <w:pPr>
              <w:pStyle w:val="ConsPlusNormal"/>
              <w:jc w:val="both"/>
            </w:pPr>
            <w:r>
              <w:lastRenderedPageBreak/>
              <w:t>9.</w:t>
            </w:r>
          </w:p>
        </w:tc>
        <w:tc>
          <w:tcPr>
            <w:tcW w:w="3005" w:type="dxa"/>
            <w:vMerge w:val="restart"/>
          </w:tcPr>
          <w:p w:rsidR="005462AB" w:rsidRDefault="005462AB">
            <w:pPr>
              <w:pStyle w:val="ConsPlusNormal"/>
              <w:jc w:val="both"/>
            </w:pPr>
            <w:r>
              <w:t>Общество с ограниченной ответственностью "Регион-Энерго"</w:t>
            </w:r>
          </w:p>
        </w:tc>
        <w:tc>
          <w:tcPr>
            <w:tcW w:w="1118" w:type="dxa"/>
          </w:tcPr>
          <w:p w:rsidR="005462AB" w:rsidRDefault="005462AB">
            <w:pPr>
              <w:pStyle w:val="ConsPlusNormal"/>
              <w:jc w:val="center"/>
            </w:pPr>
            <w:r>
              <w:t>2020</w:t>
            </w:r>
          </w:p>
        </w:tc>
        <w:tc>
          <w:tcPr>
            <w:tcW w:w="1304" w:type="dxa"/>
          </w:tcPr>
          <w:p w:rsidR="005462AB" w:rsidRDefault="005462AB">
            <w:pPr>
              <w:pStyle w:val="ConsPlusNormal"/>
              <w:jc w:val="center"/>
            </w:pPr>
            <w:r>
              <w:t>17951,68</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1,50</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2021</w:t>
            </w:r>
          </w:p>
        </w:tc>
        <w:tc>
          <w:tcPr>
            <w:tcW w:w="1304" w:type="dxa"/>
          </w:tcPr>
          <w:p w:rsidR="005462AB" w:rsidRDefault="005462AB">
            <w:pPr>
              <w:pStyle w:val="ConsPlusNormal"/>
              <w:jc w:val="center"/>
            </w:pPr>
            <w:r>
              <w:t>18552,02</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1,450</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2022</w:t>
            </w:r>
          </w:p>
        </w:tc>
        <w:tc>
          <w:tcPr>
            <w:tcW w:w="1304" w:type="dxa"/>
          </w:tcPr>
          <w:p w:rsidR="005462AB" w:rsidRDefault="005462AB">
            <w:pPr>
              <w:pStyle w:val="ConsPlusNormal"/>
              <w:jc w:val="center"/>
            </w:pPr>
            <w:r>
              <w:t>15322,84</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2023</w:t>
            </w:r>
          </w:p>
        </w:tc>
        <w:tc>
          <w:tcPr>
            <w:tcW w:w="1304" w:type="dxa"/>
          </w:tcPr>
          <w:p w:rsidR="005462AB" w:rsidRDefault="005462AB">
            <w:pPr>
              <w:pStyle w:val="ConsPlusNormal"/>
              <w:jc w:val="center"/>
            </w:pPr>
            <w:r>
              <w:t>14948,68</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2024</w:t>
            </w:r>
          </w:p>
        </w:tc>
        <w:tc>
          <w:tcPr>
            <w:tcW w:w="1304" w:type="dxa"/>
          </w:tcPr>
          <w:p w:rsidR="005462AB" w:rsidRDefault="005462AB">
            <w:pPr>
              <w:pStyle w:val="ConsPlusNormal"/>
              <w:jc w:val="center"/>
            </w:pPr>
            <w:r>
              <w:t>14586,80</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val="restart"/>
          </w:tcPr>
          <w:p w:rsidR="005462AB" w:rsidRDefault="005462AB">
            <w:pPr>
              <w:pStyle w:val="ConsPlusNormal"/>
              <w:jc w:val="both"/>
            </w:pPr>
            <w:r>
              <w:t>10.</w:t>
            </w:r>
          </w:p>
        </w:tc>
        <w:tc>
          <w:tcPr>
            <w:tcW w:w="3005" w:type="dxa"/>
            <w:vMerge w:val="restart"/>
          </w:tcPr>
          <w:p w:rsidR="005462AB" w:rsidRDefault="005462AB">
            <w:pPr>
              <w:pStyle w:val="ConsPlusNormal"/>
              <w:jc w:val="both"/>
            </w:pPr>
            <w:r>
              <w:t>Публичное акционерное общество "Россети Сибирь" (филиал "Алтайэнерго")</w:t>
            </w:r>
          </w:p>
        </w:tc>
        <w:tc>
          <w:tcPr>
            <w:tcW w:w="1118" w:type="dxa"/>
          </w:tcPr>
          <w:p w:rsidR="005462AB" w:rsidRDefault="005462AB">
            <w:pPr>
              <w:pStyle w:val="ConsPlusNormal"/>
              <w:jc w:val="center"/>
            </w:pPr>
            <w:r>
              <w:t>2020</w:t>
            </w:r>
          </w:p>
        </w:tc>
        <w:tc>
          <w:tcPr>
            <w:tcW w:w="1304" w:type="dxa"/>
          </w:tcPr>
          <w:p w:rsidR="005462AB" w:rsidRDefault="005462AB">
            <w:pPr>
              <w:pStyle w:val="ConsPlusNormal"/>
              <w:jc w:val="center"/>
            </w:pPr>
            <w:r>
              <w:t>5507025,0</w:t>
            </w:r>
          </w:p>
        </w:tc>
        <w:tc>
          <w:tcPr>
            <w:tcW w:w="1644" w:type="dxa"/>
          </w:tcPr>
          <w:p w:rsidR="005462AB" w:rsidRDefault="005462AB">
            <w:pPr>
              <w:pStyle w:val="ConsPlusNormal"/>
              <w:jc w:val="center"/>
            </w:pPr>
            <w:r>
              <w:t>59754,84</w:t>
            </w:r>
          </w:p>
        </w:tc>
        <w:tc>
          <w:tcPr>
            <w:tcW w:w="1417" w:type="dxa"/>
          </w:tcPr>
          <w:p w:rsidR="005462AB" w:rsidRDefault="005462AB">
            <w:pPr>
              <w:pStyle w:val="ConsPlusNormal"/>
              <w:jc w:val="center"/>
            </w:pPr>
            <w:r>
              <w:t>541,30</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2021</w:t>
            </w:r>
          </w:p>
        </w:tc>
        <w:tc>
          <w:tcPr>
            <w:tcW w:w="1304" w:type="dxa"/>
          </w:tcPr>
          <w:p w:rsidR="005462AB" w:rsidRDefault="005462AB">
            <w:pPr>
              <w:pStyle w:val="ConsPlusNormal"/>
              <w:jc w:val="center"/>
            </w:pPr>
            <w:r>
              <w:t>5890095,03</w:t>
            </w:r>
          </w:p>
        </w:tc>
        <w:tc>
          <w:tcPr>
            <w:tcW w:w="1644" w:type="dxa"/>
          </w:tcPr>
          <w:p w:rsidR="005462AB" w:rsidRDefault="005462AB">
            <w:pPr>
              <w:pStyle w:val="ConsPlusNormal"/>
              <w:jc w:val="center"/>
            </w:pPr>
            <w:r>
              <w:t>78957,50</w:t>
            </w:r>
          </w:p>
        </w:tc>
        <w:tc>
          <w:tcPr>
            <w:tcW w:w="1417" w:type="dxa"/>
          </w:tcPr>
          <w:p w:rsidR="005462AB" w:rsidRDefault="005462AB">
            <w:pPr>
              <w:pStyle w:val="ConsPlusNormal"/>
              <w:jc w:val="center"/>
            </w:pPr>
            <w:r>
              <w:t>556,841</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2022</w:t>
            </w:r>
          </w:p>
        </w:tc>
        <w:tc>
          <w:tcPr>
            <w:tcW w:w="1304" w:type="dxa"/>
          </w:tcPr>
          <w:p w:rsidR="005462AB" w:rsidRDefault="005462AB">
            <w:pPr>
              <w:pStyle w:val="ConsPlusNormal"/>
              <w:jc w:val="center"/>
            </w:pPr>
            <w:r>
              <w:t>5046375,67</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2023</w:t>
            </w:r>
          </w:p>
        </w:tc>
        <w:tc>
          <w:tcPr>
            <w:tcW w:w="1304" w:type="dxa"/>
          </w:tcPr>
          <w:p w:rsidR="005462AB" w:rsidRDefault="005462AB">
            <w:pPr>
              <w:pStyle w:val="ConsPlusNormal"/>
              <w:jc w:val="center"/>
            </w:pPr>
            <w:r>
              <w:t>-</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vMerge/>
          </w:tcPr>
          <w:p w:rsidR="005462AB" w:rsidRDefault="005462AB"/>
        </w:tc>
        <w:tc>
          <w:tcPr>
            <w:tcW w:w="3005" w:type="dxa"/>
            <w:vMerge/>
          </w:tcPr>
          <w:p w:rsidR="005462AB" w:rsidRDefault="005462AB"/>
        </w:tc>
        <w:tc>
          <w:tcPr>
            <w:tcW w:w="1118" w:type="dxa"/>
          </w:tcPr>
          <w:p w:rsidR="005462AB" w:rsidRDefault="005462AB">
            <w:pPr>
              <w:pStyle w:val="ConsPlusNormal"/>
              <w:jc w:val="center"/>
            </w:pPr>
            <w:r>
              <w:t>2024</w:t>
            </w:r>
          </w:p>
        </w:tc>
        <w:tc>
          <w:tcPr>
            <w:tcW w:w="1304" w:type="dxa"/>
          </w:tcPr>
          <w:p w:rsidR="005462AB" w:rsidRDefault="005462AB">
            <w:pPr>
              <w:pStyle w:val="ConsPlusNormal"/>
              <w:jc w:val="center"/>
            </w:pPr>
            <w:r>
              <w:t>-</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567" w:type="dxa"/>
          </w:tcPr>
          <w:p w:rsidR="005462AB" w:rsidRDefault="005462AB">
            <w:pPr>
              <w:pStyle w:val="ConsPlusNormal"/>
              <w:jc w:val="both"/>
            </w:pPr>
            <w:r>
              <w:t>11.</w:t>
            </w:r>
          </w:p>
        </w:tc>
        <w:tc>
          <w:tcPr>
            <w:tcW w:w="3005" w:type="dxa"/>
          </w:tcPr>
          <w:p w:rsidR="005462AB" w:rsidRDefault="005462AB">
            <w:pPr>
              <w:pStyle w:val="ConsPlusNormal"/>
              <w:jc w:val="both"/>
            </w:pPr>
            <w:r>
              <w:t>Общество с ограниченной ответственностью "Алтайская электросетевая компания"</w:t>
            </w:r>
          </w:p>
        </w:tc>
        <w:tc>
          <w:tcPr>
            <w:tcW w:w="1118" w:type="dxa"/>
          </w:tcPr>
          <w:p w:rsidR="005462AB" w:rsidRDefault="005462AB">
            <w:pPr>
              <w:pStyle w:val="ConsPlusNormal"/>
              <w:jc w:val="center"/>
            </w:pPr>
            <w:r>
              <w:t>2021 &lt;***&gt;</w:t>
            </w:r>
          </w:p>
        </w:tc>
        <w:tc>
          <w:tcPr>
            <w:tcW w:w="1304" w:type="dxa"/>
          </w:tcPr>
          <w:p w:rsidR="005462AB" w:rsidRDefault="005462AB">
            <w:pPr>
              <w:pStyle w:val="ConsPlusNormal"/>
              <w:jc w:val="center"/>
            </w:pPr>
            <w:r>
              <w:t>23353,02</w:t>
            </w:r>
          </w:p>
        </w:tc>
        <w:tc>
          <w:tcPr>
            <w:tcW w:w="1644" w:type="dxa"/>
          </w:tcPr>
          <w:p w:rsidR="005462AB" w:rsidRDefault="005462AB">
            <w:pPr>
              <w:pStyle w:val="ConsPlusNormal"/>
              <w:jc w:val="center"/>
            </w:pPr>
            <w:r>
              <w:t>0,00</w:t>
            </w:r>
          </w:p>
        </w:tc>
        <w:tc>
          <w:tcPr>
            <w:tcW w:w="1417" w:type="dxa"/>
          </w:tcPr>
          <w:p w:rsidR="005462AB" w:rsidRDefault="005462AB">
            <w:pPr>
              <w:pStyle w:val="ConsPlusNormal"/>
              <w:jc w:val="center"/>
            </w:pPr>
            <w:r>
              <w:t>0,00</w:t>
            </w:r>
          </w:p>
        </w:tc>
      </w:tr>
      <w:tr w:rsidR="005462AB">
        <w:tc>
          <w:tcPr>
            <w:tcW w:w="3572" w:type="dxa"/>
            <w:gridSpan w:val="2"/>
            <w:vMerge w:val="restart"/>
          </w:tcPr>
          <w:p w:rsidR="005462AB" w:rsidRDefault="005462AB">
            <w:pPr>
              <w:pStyle w:val="ConsPlusNormal"/>
              <w:jc w:val="both"/>
            </w:pPr>
            <w:r>
              <w:t>Всего</w:t>
            </w:r>
          </w:p>
        </w:tc>
        <w:tc>
          <w:tcPr>
            <w:tcW w:w="1118" w:type="dxa"/>
          </w:tcPr>
          <w:p w:rsidR="005462AB" w:rsidRDefault="005462AB">
            <w:pPr>
              <w:pStyle w:val="ConsPlusNormal"/>
              <w:jc w:val="center"/>
            </w:pPr>
            <w:r>
              <w:t>2020 &lt;*&gt;</w:t>
            </w:r>
          </w:p>
        </w:tc>
        <w:tc>
          <w:tcPr>
            <w:tcW w:w="1304" w:type="dxa"/>
          </w:tcPr>
          <w:p w:rsidR="005462AB" w:rsidRDefault="005462AB">
            <w:pPr>
              <w:pStyle w:val="ConsPlusNormal"/>
              <w:jc w:val="center"/>
            </w:pPr>
            <w:r>
              <w:t>8279488,66</w:t>
            </w:r>
          </w:p>
        </w:tc>
        <w:tc>
          <w:tcPr>
            <w:tcW w:w="1644" w:type="dxa"/>
          </w:tcPr>
          <w:p w:rsidR="005462AB" w:rsidRDefault="005462AB">
            <w:pPr>
              <w:pStyle w:val="ConsPlusNormal"/>
              <w:jc w:val="center"/>
            </w:pPr>
            <w:r>
              <w:t>111741,43</w:t>
            </w:r>
          </w:p>
        </w:tc>
        <w:tc>
          <w:tcPr>
            <w:tcW w:w="1417" w:type="dxa"/>
          </w:tcPr>
          <w:p w:rsidR="005462AB" w:rsidRDefault="005462AB">
            <w:pPr>
              <w:pStyle w:val="ConsPlusNormal"/>
              <w:jc w:val="center"/>
            </w:pPr>
            <w:r>
              <w:t>1037,76</w:t>
            </w:r>
          </w:p>
        </w:tc>
      </w:tr>
      <w:tr w:rsidR="005462AB">
        <w:tc>
          <w:tcPr>
            <w:tcW w:w="3572" w:type="dxa"/>
            <w:gridSpan w:val="2"/>
            <w:vMerge/>
          </w:tcPr>
          <w:p w:rsidR="005462AB" w:rsidRDefault="005462AB"/>
        </w:tc>
        <w:tc>
          <w:tcPr>
            <w:tcW w:w="1118" w:type="dxa"/>
          </w:tcPr>
          <w:p w:rsidR="005462AB" w:rsidRDefault="005462AB">
            <w:pPr>
              <w:pStyle w:val="ConsPlusNormal"/>
              <w:jc w:val="center"/>
            </w:pPr>
            <w:r>
              <w:t>2021</w:t>
            </w:r>
          </w:p>
        </w:tc>
        <w:tc>
          <w:tcPr>
            <w:tcW w:w="1304" w:type="dxa"/>
          </w:tcPr>
          <w:p w:rsidR="005462AB" w:rsidRDefault="005462AB">
            <w:pPr>
              <w:pStyle w:val="ConsPlusNormal"/>
              <w:jc w:val="center"/>
            </w:pPr>
            <w:r>
              <w:t>8857497,37</w:t>
            </w:r>
          </w:p>
        </w:tc>
        <w:tc>
          <w:tcPr>
            <w:tcW w:w="1644" w:type="dxa"/>
          </w:tcPr>
          <w:p w:rsidR="005462AB" w:rsidRDefault="005462AB">
            <w:pPr>
              <w:pStyle w:val="ConsPlusNormal"/>
              <w:jc w:val="center"/>
            </w:pPr>
            <w:r>
              <w:t>217596,31</w:t>
            </w:r>
          </w:p>
        </w:tc>
        <w:tc>
          <w:tcPr>
            <w:tcW w:w="1417" w:type="dxa"/>
          </w:tcPr>
          <w:p w:rsidR="005462AB" w:rsidRDefault="005462AB">
            <w:pPr>
              <w:pStyle w:val="ConsPlusNormal"/>
              <w:jc w:val="center"/>
            </w:pPr>
            <w:r>
              <w:t>976,550</w:t>
            </w:r>
          </w:p>
        </w:tc>
      </w:tr>
      <w:tr w:rsidR="005462AB">
        <w:tc>
          <w:tcPr>
            <w:tcW w:w="3572" w:type="dxa"/>
            <w:gridSpan w:val="2"/>
            <w:vMerge/>
          </w:tcPr>
          <w:p w:rsidR="005462AB" w:rsidRDefault="005462AB"/>
        </w:tc>
        <w:tc>
          <w:tcPr>
            <w:tcW w:w="1118" w:type="dxa"/>
          </w:tcPr>
          <w:p w:rsidR="005462AB" w:rsidRDefault="005462AB">
            <w:pPr>
              <w:pStyle w:val="ConsPlusNormal"/>
              <w:jc w:val="center"/>
            </w:pPr>
            <w:r>
              <w:t>2022</w:t>
            </w:r>
          </w:p>
        </w:tc>
        <w:tc>
          <w:tcPr>
            <w:tcW w:w="1304" w:type="dxa"/>
          </w:tcPr>
          <w:p w:rsidR="005462AB" w:rsidRDefault="005462AB">
            <w:pPr>
              <w:pStyle w:val="ConsPlusNormal"/>
              <w:jc w:val="center"/>
            </w:pPr>
            <w:r>
              <w:t>7649565,63</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3572" w:type="dxa"/>
            <w:gridSpan w:val="2"/>
            <w:vMerge/>
          </w:tcPr>
          <w:p w:rsidR="005462AB" w:rsidRDefault="005462AB"/>
        </w:tc>
        <w:tc>
          <w:tcPr>
            <w:tcW w:w="1118" w:type="dxa"/>
          </w:tcPr>
          <w:p w:rsidR="005462AB" w:rsidRDefault="005462AB">
            <w:pPr>
              <w:pStyle w:val="ConsPlusNormal"/>
              <w:jc w:val="center"/>
            </w:pPr>
            <w:r>
              <w:t>2023</w:t>
            </w:r>
          </w:p>
        </w:tc>
        <w:tc>
          <w:tcPr>
            <w:tcW w:w="1304" w:type="dxa"/>
          </w:tcPr>
          <w:p w:rsidR="005462AB" w:rsidRDefault="005462AB">
            <w:pPr>
              <w:pStyle w:val="ConsPlusNormal"/>
              <w:jc w:val="center"/>
            </w:pPr>
            <w:r>
              <w:t>2612161,79</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r w:rsidR="005462AB">
        <w:tc>
          <w:tcPr>
            <w:tcW w:w="3572" w:type="dxa"/>
            <w:gridSpan w:val="2"/>
            <w:vMerge/>
          </w:tcPr>
          <w:p w:rsidR="005462AB" w:rsidRDefault="005462AB"/>
        </w:tc>
        <w:tc>
          <w:tcPr>
            <w:tcW w:w="1118" w:type="dxa"/>
          </w:tcPr>
          <w:p w:rsidR="005462AB" w:rsidRDefault="005462AB">
            <w:pPr>
              <w:pStyle w:val="ConsPlusNormal"/>
              <w:jc w:val="center"/>
            </w:pPr>
            <w:r>
              <w:t>2024 &lt;**&gt;</w:t>
            </w:r>
          </w:p>
        </w:tc>
        <w:tc>
          <w:tcPr>
            <w:tcW w:w="1304" w:type="dxa"/>
          </w:tcPr>
          <w:p w:rsidR="005462AB" w:rsidRDefault="005462AB">
            <w:pPr>
              <w:pStyle w:val="ConsPlusNormal"/>
              <w:jc w:val="center"/>
            </w:pPr>
            <w:r>
              <w:t>2621449,95</w:t>
            </w:r>
          </w:p>
        </w:tc>
        <w:tc>
          <w:tcPr>
            <w:tcW w:w="1644" w:type="dxa"/>
          </w:tcPr>
          <w:p w:rsidR="005462AB" w:rsidRDefault="005462AB">
            <w:pPr>
              <w:pStyle w:val="ConsPlusNormal"/>
              <w:jc w:val="center"/>
            </w:pPr>
            <w:r>
              <w:t>-</w:t>
            </w:r>
          </w:p>
        </w:tc>
        <w:tc>
          <w:tcPr>
            <w:tcW w:w="1417" w:type="dxa"/>
          </w:tcPr>
          <w:p w:rsidR="005462AB" w:rsidRDefault="005462AB">
            <w:pPr>
              <w:pStyle w:val="ConsPlusNormal"/>
              <w:jc w:val="center"/>
            </w:pPr>
            <w:r>
              <w:t>-</w:t>
            </w:r>
          </w:p>
        </w:tc>
      </w:tr>
    </w:tbl>
    <w:p w:rsidR="005462AB" w:rsidRDefault="005462AB">
      <w:pPr>
        <w:pStyle w:val="ConsPlusNormal"/>
        <w:jc w:val="both"/>
      </w:pPr>
    </w:p>
    <w:p w:rsidR="005462AB" w:rsidRDefault="005462AB">
      <w:pPr>
        <w:pStyle w:val="ConsPlusNormal"/>
        <w:ind w:firstLine="540"/>
        <w:jc w:val="both"/>
      </w:pPr>
      <w:r>
        <w:t>--------------------------------</w:t>
      </w:r>
    </w:p>
    <w:p w:rsidR="005462AB" w:rsidRDefault="005462AB">
      <w:pPr>
        <w:pStyle w:val="ConsPlusNormal"/>
        <w:spacing w:before="220"/>
        <w:ind w:firstLine="540"/>
        <w:jc w:val="both"/>
      </w:pPr>
      <w:r>
        <w:t>Примечание:</w:t>
      </w:r>
    </w:p>
    <w:p w:rsidR="005462AB" w:rsidRDefault="005462AB">
      <w:pPr>
        <w:pStyle w:val="ConsPlusNormal"/>
        <w:spacing w:before="220"/>
        <w:ind w:firstLine="540"/>
        <w:jc w:val="both"/>
      </w:pPr>
      <w:r>
        <w:t>&lt;*&gt; Первый год третьего долгосрочного периода регулирования.</w:t>
      </w:r>
    </w:p>
    <w:p w:rsidR="005462AB" w:rsidRDefault="005462AB">
      <w:pPr>
        <w:pStyle w:val="ConsPlusNormal"/>
        <w:spacing w:before="220"/>
        <w:ind w:firstLine="540"/>
        <w:jc w:val="both"/>
      </w:pPr>
      <w:r>
        <w:t>&lt;**&gt; Последний год третьего долгосрочного периода регулирования.</w:t>
      </w:r>
    </w:p>
    <w:p w:rsidR="005462AB" w:rsidRDefault="005462AB">
      <w:pPr>
        <w:pStyle w:val="ConsPlusNormal"/>
        <w:spacing w:before="220"/>
        <w:ind w:firstLine="540"/>
        <w:jc w:val="both"/>
      </w:pPr>
      <w:r>
        <w:t>&lt;***&gt; Метод экономически обоснованных расходов.</w:t>
      </w:r>
    </w:p>
    <w:p w:rsidR="005462AB" w:rsidRDefault="005462AB">
      <w:pPr>
        <w:pStyle w:val="ConsPlusNormal"/>
        <w:jc w:val="both"/>
      </w:pPr>
    </w:p>
    <w:p w:rsidR="005462AB" w:rsidRDefault="005462AB">
      <w:pPr>
        <w:pStyle w:val="ConsPlusNormal"/>
        <w:jc w:val="both"/>
      </w:pPr>
    </w:p>
    <w:p w:rsidR="005462AB" w:rsidRDefault="005462AB">
      <w:pPr>
        <w:pStyle w:val="ConsPlusNormal"/>
        <w:pBdr>
          <w:top w:val="single" w:sz="6" w:space="0" w:color="auto"/>
        </w:pBdr>
        <w:spacing w:before="100" w:after="100"/>
        <w:jc w:val="both"/>
        <w:rPr>
          <w:sz w:val="2"/>
          <w:szCs w:val="2"/>
        </w:rPr>
      </w:pPr>
    </w:p>
    <w:p w:rsidR="00197B19" w:rsidRDefault="00197B19">
      <w:bookmarkStart w:id="1" w:name="_GoBack"/>
      <w:bookmarkEnd w:id="1"/>
    </w:p>
    <w:sectPr w:rsidR="00197B19" w:rsidSect="00713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AB"/>
    <w:rsid w:val="00197B19"/>
    <w:rsid w:val="00546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C30BD-BCE8-423B-A1D1-A58A51B3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2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62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62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B99730773207EBC8125E105779C9C72C659B2EC0FB0FE34FDDF58BF20D8BEC12F3236CED21D7BFD7F25E816o2B5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75B99730773207EBC8125E105779C9C72CB59BBE905B0FE34FDDF58BF20D8BEC12F3236CED21D7BFD7F25E816o2B5K" TargetMode="External"/><Relationship Id="rId12" Type="http://schemas.openxmlformats.org/officeDocument/2006/relationships/hyperlink" Target="consultantplus://offline/ref=775B99730773207EBC813BEC131BC29077C805BFE40BBFAE68A28405E829D2E99460337888D7027BF86423EE1F70DDDE9D62971727B521AE0A7074o8B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75B99730773207EBC8125E105779C9C72C453BBE804B0FE34FDDF58BF20D8BEC12F3236CED21D7BFD7F25E816o2B5K" TargetMode="External"/><Relationship Id="rId11" Type="http://schemas.openxmlformats.org/officeDocument/2006/relationships/hyperlink" Target="consultantplus://offline/ref=775B99730773207EBC813BEC131BC29077C805BFE40BBFAE68A28405E829D2E99460337888D7027BF86125E81F70DDDE9D62971727B521AE0A7074o8B1K" TargetMode="External"/><Relationship Id="rId5" Type="http://schemas.openxmlformats.org/officeDocument/2006/relationships/hyperlink" Target="consultantplus://offline/ref=775B99730773207EBC8125E105779C9C72C653BAE508B0FE34FDDF58BF20D8BEC12F3236CED21D7BFD7F25E816o2B5K" TargetMode="External"/><Relationship Id="rId10" Type="http://schemas.openxmlformats.org/officeDocument/2006/relationships/hyperlink" Target="consultantplus://offline/ref=775B99730773207EBC813BEC131BC29077C805BFE40FBAAE6AA28405E829D2E99460336A888F0E79F07F27ED0A268C98oCB9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75B99730773207EBC8125E105779C9C72C45CB4EA04B0FE34FDDF58BF20D8BEC12F3236CED21D7BFD7F25E816o2B5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6565</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Виктория Александровна</dc:creator>
  <cp:keywords/>
  <dc:description/>
  <cp:lastModifiedBy>Петрова Виктория Александровна</cp:lastModifiedBy>
  <cp:revision>1</cp:revision>
  <dcterms:created xsi:type="dcterms:W3CDTF">2021-05-28T10:01:00Z</dcterms:created>
  <dcterms:modified xsi:type="dcterms:W3CDTF">2021-05-28T10:02:00Z</dcterms:modified>
</cp:coreProperties>
</file>