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ПО ТАРИФАМ ИРКУТСКОЙ ОБЛАСТИ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апреля 2014 г. N 98-спр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ПО ТАРИФАМ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ИРКУТСКОЙ ОБЛАСТИ ОТ 19 ДЕКАБРЯ 2013 ГОДА N 256/1-СПР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руководствуясь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службе по тарифам Иркутской области, утвержденным постановлением Правительства Иркутской области от 7 июня 2012 года N 303-пп, в целях приведения ранее принятого решения</w:t>
      </w:r>
      <w:proofErr w:type="gramEnd"/>
      <w:r>
        <w:rPr>
          <w:rFonts w:ascii="Calibri" w:hAnsi="Calibri" w:cs="Calibri"/>
        </w:rPr>
        <w:t xml:space="preserve"> об установлении тарифов в соответствие с законодательством Российской Федерации, учитывая итоги рассмотрения данного вопроса на заседании Правления службы по тарифам Иркутской области 8 апреля 2014 года, приказываю: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по тарифам Иркутской области от 19 декабря 2013 года N 256/1-спр "Об установлении единых (котловых) тарифов на услуги по передаче электрической энергии на территории Иркутской области с 1 января 2014 года" изменение, изложив </w:t>
      </w:r>
      <w:hyperlink r:id="rId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в новой редакции согласно </w:t>
      </w:r>
      <w:hyperlink w:anchor="Par36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приказ подлежит официальному опубликованию.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службы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А.Р.ХАЛИУЛИН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апреля 2014 года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98-спр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 по тарифам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года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256/1-спр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t>ЕДИНЫЕ (КОТЛОВЫЕ) ТАРИФЫ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НА ТЕРРИТОРИИ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ИРКУТСКОЙ ОБЛАСТИ (БЕЗ УЧЕТА НДС)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C1922" w:rsidSect="009E6D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473"/>
        <w:gridCol w:w="1276"/>
        <w:gridCol w:w="1275"/>
        <w:gridCol w:w="1276"/>
        <w:gridCol w:w="1134"/>
        <w:gridCol w:w="1276"/>
        <w:gridCol w:w="1417"/>
        <w:gridCol w:w="1134"/>
        <w:gridCol w:w="1276"/>
      </w:tblGrid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0,57259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0,84008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177,993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321,74063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398,90087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367,38775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177,99339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321,74063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398,90087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367,38775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0,19505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8C1922" w:rsidT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0,23593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0,25230</w:t>
            </w:r>
          </w:p>
        </w:tc>
      </w:tr>
    </w:tbl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6009"/>
        <w:gridCol w:w="4706"/>
      </w:tblGrid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"Иркутская электросетевая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9347855,0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ОГУЭП "</w:t>
            </w:r>
            <w:proofErr w:type="spellStart"/>
            <w:r>
              <w:rPr>
                <w:rFonts w:ascii="Calibri" w:hAnsi="Calibri" w:cs="Calibri"/>
              </w:rPr>
              <w:t>Облкоммунэнерго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1615888,2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Восточно-Сибирская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314132,1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"Братская электросетевая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828201,4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"РУСАЛ Братск"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200,4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Шелеховская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77172,8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"Группа "Илим" в г. Братске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6808,0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"АНХК"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53918,5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"АЭХК"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7595,6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компания "Радиан"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42309,8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БФ "</w:t>
            </w:r>
            <w:proofErr w:type="spellStart"/>
            <w:r>
              <w:rPr>
                <w:rFonts w:ascii="Calibri" w:hAnsi="Calibri" w:cs="Calibri"/>
              </w:rPr>
              <w:t>Сосновгеология</w:t>
            </w:r>
            <w:proofErr w:type="spellEnd"/>
            <w:r>
              <w:rPr>
                <w:rFonts w:ascii="Calibri" w:hAnsi="Calibri" w:cs="Calibri"/>
              </w:rPr>
              <w:t>" ФГУГП "</w:t>
            </w:r>
            <w:proofErr w:type="spellStart"/>
            <w:r>
              <w:rPr>
                <w:rFonts w:ascii="Calibri" w:hAnsi="Calibri" w:cs="Calibri"/>
              </w:rPr>
              <w:t>Урангео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140,3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gramStart"/>
            <w:r>
              <w:rPr>
                <w:rFonts w:ascii="Calibri" w:hAnsi="Calibri" w:cs="Calibri"/>
              </w:rPr>
              <w:t>Усолье-Сибирский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химфармзавод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447,9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"Группа "Илим" в г. Усть-Илимске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3480,2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Усольехимпром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52400,5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"БЦБК"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Ангарска "Ангарский водоканал"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256,0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Осетровский</w:t>
            </w:r>
            <w:proofErr w:type="spellEnd"/>
            <w:r>
              <w:rPr>
                <w:rFonts w:ascii="Calibri" w:hAnsi="Calibri" w:cs="Calibri"/>
              </w:rPr>
              <w:t xml:space="preserve"> речной порт"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Сетевая компания "Радиан"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8230,0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"Молоко"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"АУС"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15422,7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Тыретский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солерудник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1057,2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"Саянскхимпласт"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2420,4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Красноярская дирекция по энергообеспечению - структурное подразделение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- филиал ОАО "РЖД"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1822,9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"ВСКБТ"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575,4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"Иркутский завод дорожных машин"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37189,1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"СТРОИТЕЛЬСТВО И ПРОЕКТИРОВАНИЕ"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7786,8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"Прибайкальская электросетевая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20179,3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АктивЭнерго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13890,8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Витимэнерго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627602,2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"ВСРП"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938,5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Руссоль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1969,7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"Иркутск-Терминал"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9146,6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 ООО "Ресурс"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1744,8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</w:t>
            </w:r>
            <w:proofErr w:type="spellStart"/>
            <w:r>
              <w:rPr>
                <w:rFonts w:ascii="Calibri" w:hAnsi="Calibri" w:cs="Calibri"/>
              </w:rPr>
              <w:t>Энергосервис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2615,3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энергоснабжения"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3174,8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2045,2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"Забайкальский" 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109319,1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"Инвестиционно-сетевая компания "Зодиак Плюс"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16721,7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Сибири" - "Бурятэнерго"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520,0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41.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"Тепло-Транс"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1890,8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"Сибирская электросетевая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466,6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Максимус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276,8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Сетьэнергопром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9642,9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Топресурс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35847,1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Кутуликская</w:t>
            </w:r>
            <w:proofErr w:type="spellEnd"/>
            <w:r>
              <w:rPr>
                <w:rFonts w:ascii="Calibri" w:hAnsi="Calibri" w:cs="Calibri"/>
              </w:rPr>
              <w:t xml:space="preserve"> электросетевая компания"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6912,7</w:t>
            </w:r>
          </w:p>
        </w:tc>
      </w:tr>
      <w:tr w:rsidR="008C19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922" w:rsidRDefault="008C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13291518,5</w:t>
            </w:r>
          </w:p>
        </w:tc>
      </w:tr>
    </w:tbl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1. Единые (котловые) тарифы тарифной таблицы приложения установлены для всех потребителей электрической энергии Иркутской области, за исключением потребителей территориальных сетевых организаций, находящихся на территориях, в границах которых не формируется равновесная цена.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 2. </w:t>
      </w:r>
      <w:proofErr w:type="gramStart"/>
      <w:r>
        <w:rPr>
          <w:rFonts w:ascii="Calibri" w:hAnsi="Calibri" w:cs="Calibri"/>
        </w:rPr>
        <w:t>Единые (котловые) тарифы тарифной таблицы приложения рассчитаны исходя из необходимости обеспечения равенства тарифов на услуги по передаче электрической энергии для всех потребителей услуг, расположенных на территории соответствующего субъекта Российской Федерации и принадлежащих к одной группе (категории) (по которым законодательством Российской Федерации предусмотрена дифференциация тарифов на электрическую энергию (мощность).</w:t>
      </w:r>
      <w:proofErr w:type="gramEnd"/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службы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И.Ю.ВЕКЛЮЧ</w:t>
      </w: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C1922" w:rsidRDefault="008C19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8C1922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2"/>
    <w:rsid w:val="008C1922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E866C149A22422378E446F9D264EA72A50909114F996CD2C8220E517FCCDBtDA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E866C149A22422378E446F9D264EA72A50909114C9C6AD5C8220E517FCCDBD181EF96BDE45638459795tDA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E866C149A22422378FA4BEFBE3EE672A857051D49963B8897795306t7A6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09E866C149A22422378FA4BEFBE3EE672AB530C184E963B8897795306t7A6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E866C149A22422378E446F9D264EA72A50909114F996CD2C8220E517FCCDBD181EF96BDE45638459795tD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2014-06-09T14:00:00Z</dcterms:created>
  <dcterms:modified xsi:type="dcterms:W3CDTF">2014-06-09T14:01:00Z</dcterms:modified>
</cp:coreProperties>
</file>