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D2295" w:rsidRDefault="003D2295">
      <w:pPr>
        <w:widowControl w:val="0"/>
        <w:autoSpaceDE w:val="0"/>
        <w:autoSpaceDN w:val="0"/>
        <w:adjustRightInd w:val="0"/>
        <w:spacing w:after="0" w:line="240" w:lineRule="auto"/>
        <w:jc w:val="both"/>
        <w:outlineLvl w:val="0"/>
        <w:rPr>
          <w:rFonts w:ascii="Calibri" w:hAnsi="Calibri" w:cs="Calibri"/>
        </w:rPr>
      </w:pPr>
    </w:p>
    <w:p w:rsidR="003D2295" w:rsidRDefault="003D229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ТАРИФНОГО РЕГУЛИРОВАНИЯ</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w:t>
      </w:r>
    </w:p>
    <w:p w:rsidR="003D2295" w:rsidRDefault="003D2295">
      <w:pPr>
        <w:widowControl w:val="0"/>
        <w:autoSpaceDE w:val="0"/>
        <w:autoSpaceDN w:val="0"/>
        <w:adjustRightInd w:val="0"/>
        <w:spacing w:after="0" w:line="240" w:lineRule="auto"/>
        <w:jc w:val="center"/>
        <w:rPr>
          <w:rFonts w:ascii="Calibri" w:hAnsi="Calibri" w:cs="Calibri"/>
          <w:b/>
          <w:bCs/>
        </w:rPr>
      </w:pP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2015 г. N 6-128</w:t>
      </w:r>
    </w:p>
    <w:p w:rsidR="003D2295" w:rsidRDefault="003D2295">
      <w:pPr>
        <w:widowControl w:val="0"/>
        <w:autoSpaceDE w:val="0"/>
        <w:autoSpaceDN w:val="0"/>
        <w:adjustRightInd w:val="0"/>
        <w:spacing w:after="0" w:line="240" w:lineRule="auto"/>
        <w:jc w:val="center"/>
        <w:rPr>
          <w:rFonts w:ascii="Calibri" w:hAnsi="Calibri" w:cs="Calibri"/>
          <w:b/>
          <w:bCs/>
        </w:rPr>
      </w:pP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ПРИКАЗ ДЕПАРТАМЕНТА ТАРИФНОГО</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ТОМСКОЙ ОБЛАСТИ ОТ 30.12.2014 N 6/9(750)</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ЕДИНЫХ (КОТЛОВЫХ) ТАРИФОВ НА УСЛУГИ </w:t>
      </w:r>
      <w:proofErr w:type="gramStart"/>
      <w:r>
        <w:rPr>
          <w:rFonts w:ascii="Calibri" w:hAnsi="Calibri" w:cs="Calibri"/>
          <w:b/>
          <w:bCs/>
        </w:rPr>
        <w:t>ПО</w:t>
      </w:r>
      <w:proofErr w:type="gramEnd"/>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ПЕРЕДАЧЕ ЭЛЕКТРИЧЕСКОЙ ЭНЕРГИИ НА ТЕРРИТОРИИ</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2015 ГОД"</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выполнения требований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11.05.2015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 в соответствии с </w:t>
      </w:r>
      <w:hyperlink r:id="rId7" w:history="1">
        <w:r>
          <w:rPr>
            <w:rFonts w:ascii="Calibri" w:hAnsi="Calibri" w:cs="Calibri"/>
            <w:color w:val="0000FF"/>
          </w:rPr>
          <w:t>Положением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Департаменте</w:t>
      </w:r>
      <w:proofErr w:type="gramEnd"/>
      <w:r>
        <w:rPr>
          <w:rFonts w:ascii="Calibri" w:hAnsi="Calibri" w:cs="Calibri"/>
        </w:rPr>
        <w:t xml:space="preserve"> тарифного регулирования Томской области, утвержденным постановлением Губернатора Томской области от 31.10.2012 N 145, и решением Правления Департамента тарифного регулирования Томской области от 29.06.2015 N 19/1 приказываю:</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в </w:t>
      </w:r>
      <w:hyperlink r:id="rId8" w:history="1">
        <w:r>
          <w:rPr>
            <w:rFonts w:ascii="Calibri" w:hAnsi="Calibri" w:cs="Calibri"/>
            <w:color w:val="0000FF"/>
          </w:rPr>
          <w:t>приказ</w:t>
        </w:r>
      </w:hyperlink>
      <w:r>
        <w:rPr>
          <w:rFonts w:ascii="Calibri" w:hAnsi="Calibri" w:cs="Calibri"/>
        </w:rPr>
        <w:t xml:space="preserve"> Департамента тарифного регулирования Томской области от 30.12.2014 N 6/9(750) "Об утверждении единых (котловых) тарифов на услуги по передаче электрической энергии на территории Томской области на 2015 год" (Официальный интернет-портал "Электронная Администрация Томской области" http://www.tomsk.gov.ru, 30.12.2014) изменения, изложив </w:t>
      </w:r>
      <w:hyperlink r:id="rId9" w:history="1">
        <w:r>
          <w:rPr>
            <w:rFonts w:ascii="Calibri" w:hAnsi="Calibri" w:cs="Calibri"/>
            <w:color w:val="0000FF"/>
          </w:rPr>
          <w:t>приложения NN 4</w:t>
        </w:r>
      </w:hyperlink>
      <w:r>
        <w:rPr>
          <w:rFonts w:ascii="Calibri" w:hAnsi="Calibri" w:cs="Calibri"/>
        </w:rPr>
        <w:t xml:space="preserve">, </w:t>
      </w:r>
      <w:hyperlink r:id="rId10" w:history="1">
        <w:r>
          <w:rPr>
            <w:rFonts w:ascii="Calibri" w:hAnsi="Calibri" w:cs="Calibri"/>
            <w:color w:val="0000FF"/>
          </w:rPr>
          <w:t>5</w:t>
        </w:r>
      </w:hyperlink>
      <w:r>
        <w:rPr>
          <w:rFonts w:ascii="Calibri" w:hAnsi="Calibri" w:cs="Calibri"/>
        </w:rPr>
        <w:t xml:space="preserve"> в редакции </w:t>
      </w:r>
      <w:hyperlink w:anchor="Par36" w:history="1">
        <w:r>
          <w:rPr>
            <w:rFonts w:ascii="Calibri" w:hAnsi="Calibri" w:cs="Calibri"/>
            <w:color w:val="0000FF"/>
          </w:rPr>
          <w:t>приложений NN 1</w:t>
        </w:r>
      </w:hyperlink>
      <w:r>
        <w:rPr>
          <w:rFonts w:ascii="Calibri" w:hAnsi="Calibri" w:cs="Calibri"/>
        </w:rPr>
        <w:t xml:space="preserve">, </w:t>
      </w:r>
      <w:hyperlink w:anchor="Par128" w:history="1">
        <w:r>
          <w:rPr>
            <w:rFonts w:ascii="Calibri" w:hAnsi="Calibri" w:cs="Calibri"/>
            <w:color w:val="0000FF"/>
          </w:rPr>
          <w:t>2</w:t>
        </w:r>
      </w:hyperlink>
      <w:r>
        <w:rPr>
          <w:rFonts w:ascii="Calibri" w:hAnsi="Calibri" w:cs="Calibri"/>
        </w:rPr>
        <w:t xml:space="preserve"> к настоящему приказу.</w:t>
      </w:r>
      <w:proofErr w:type="gramEnd"/>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01.07.2015.</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М.Д.ВАГИНА</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 N 1</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от 29.06.2015 N 6-128</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D2295" w:rsidRDefault="003D2295">
      <w:pPr>
        <w:widowControl w:val="0"/>
        <w:autoSpaceDE w:val="0"/>
        <w:autoSpaceDN w:val="0"/>
        <w:adjustRightInd w:val="0"/>
        <w:spacing w:after="0" w:line="240" w:lineRule="auto"/>
        <w:jc w:val="right"/>
        <w:rPr>
          <w:rFonts w:ascii="Calibri" w:hAnsi="Calibri" w:cs="Calibri"/>
        </w:rPr>
        <w:sectPr w:rsidR="003D2295" w:rsidSect="004D5E8A">
          <w:pgSz w:w="11906" w:h="16838"/>
          <w:pgMar w:top="1134" w:right="850" w:bottom="1134" w:left="1701" w:header="708" w:footer="708" w:gutter="0"/>
          <w:cols w:space="708"/>
          <w:docGrid w:linePitch="360"/>
        </w:sect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ЕДИНЫЕ (КОТЛОВЫЕ) ТАРИФЫ</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ПОСТАВЛЯЕМОЙ НАСЕЛЕНИЮ</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ПРИРАВНЕННЫМ К НЕМУ КАТЕГОРИЯМ ПОТРЕБИТЕЛЕЙ НА 2015 ГОД</w:t>
      </w:r>
    </w:p>
    <w:p w:rsidR="003D2295" w:rsidRDefault="003D22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4025"/>
        <w:gridCol w:w="1417"/>
        <w:gridCol w:w="1361"/>
        <w:gridCol w:w="2154"/>
      </w:tblGrid>
      <w:tr w:rsidR="003D229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D229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D229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Население и приравненные к нему категории потребителей (тарифы указываются без учета НДС)</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Население и приравненные к нему категории потребителей, за исключением </w:t>
            </w:r>
            <w:proofErr w:type="gramStart"/>
            <w:r>
              <w:rPr>
                <w:rFonts w:ascii="Calibri" w:hAnsi="Calibri" w:cs="Calibri"/>
              </w:rPr>
              <w:t>указанного</w:t>
            </w:r>
            <w:proofErr w:type="gramEnd"/>
            <w:r>
              <w:rPr>
                <w:rFonts w:ascii="Calibri" w:hAnsi="Calibri" w:cs="Calibri"/>
              </w:rPr>
              <w:t xml:space="preserve"> в </w:t>
            </w:r>
            <w:hyperlink w:anchor="Par63" w:history="1">
              <w:r>
                <w:rPr>
                  <w:rFonts w:ascii="Calibri" w:hAnsi="Calibri" w:cs="Calibri"/>
                  <w:color w:val="0000FF"/>
                </w:rPr>
                <w:t>пунктах 1.2</w:t>
              </w:r>
            </w:hyperlink>
            <w:r>
              <w:rPr>
                <w:rFonts w:ascii="Calibri" w:hAnsi="Calibri" w:cs="Calibri"/>
              </w:rPr>
              <w:t xml:space="preserve"> и </w:t>
            </w:r>
            <w:hyperlink w:anchor="Par72" w:history="1">
              <w:r>
                <w:rPr>
                  <w:rFonts w:ascii="Calibri" w:hAnsi="Calibri" w:cs="Calibri"/>
                  <w:color w:val="0000FF"/>
                </w:rPr>
                <w:t>1.3</w:t>
              </w:r>
            </w:hyperlink>
            <w:r>
              <w:rPr>
                <w:rFonts w:ascii="Calibri" w:hAnsi="Calibri" w:cs="Calibri"/>
              </w:rPr>
              <w:t>:</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w:t>
            </w:r>
            <w:r>
              <w:rPr>
                <w:rFonts w:ascii="Calibri" w:hAnsi="Calibri" w:cs="Calibri"/>
              </w:rPr>
              <w:lastRenderedPageBreak/>
              <w:t>общего прибора учета электрической энергии.</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bookmarkStart w:id="3" w:name="Par63"/>
            <w:bookmarkEnd w:id="3"/>
            <w:r>
              <w:rPr>
                <w:rFonts w:ascii="Calibri" w:hAnsi="Calibri" w:cs="Calibri"/>
              </w:rPr>
              <w:t>1.2</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Pr>
                <w:rFonts w:ascii="Calibri" w:hAnsi="Calibri" w:cs="Calibri"/>
              </w:rPr>
              <w:t>приравненные</w:t>
            </w:r>
            <w:proofErr w:type="gramEnd"/>
            <w:r>
              <w:rPr>
                <w:rFonts w:ascii="Calibri" w:hAnsi="Calibri" w:cs="Calibri"/>
              </w:rPr>
              <w:t xml:space="preserve"> к ним:</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bookmarkStart w:id="4" w:name="Par72"/>
            <w:bookmarkEnd w:id="4"/>
            <w:r>
              <w:rPr>
                <w:rFonts w:ascii="Calibri" w:hAnsi="Calibri" w:cs="Calibri"/>
              </w:rPr>
              <w:t>1.3</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Население, проживающее в сельских населенных пунктах, и </w:t>
            </w:r>
            <w:proofErr w:type="gramStart"/>
            <w:r>
              <w:rPr>
                <w:rFonts w:ascii="Calibri" w:hAnsi="Calibri" w:cs="Calibri"/>
              </w:rPr>
              <w:t>приравненные</w:t>
            </w:r>
            <w:proofErr w:type="gramEnd"/>
            <w:r>
              <w:rPr>
                <w:rFonts w:ascii="Calibri" w:hAnsi="Calibri" w:cs="Calibri"/>
              </w:rPr>
              <w:t xml:space="preserve"> к ним:</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11" w:history="1">
              <w:r>
                <w:rPr>
                  <w:rFonts w:ascii="Calibri" w:hAnsi="Calibri" w:cs="Calibri"/>
                  <w:color w:val="0000FF"/>
                </w:rPr>
                <w:t>пункте 71(1)</w:t>
              </w:r>
            </w:hyperlink>
            <w:r>
              <w:rPr>
                <w:rFonts w:ascii="Calibri" w:hAnsi="Calibri" w:cs="Calibri"/>
              </w:rPr>
              <w:t xml:space="preserve"> Основ ценообразования:</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1.4.1</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Содержащиеся за счет прихожан религиозные организации.</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r w:rsidR="003D229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9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w:t>
            </w:r>
            <w:r>
              <w:rPr>
                <w:rFonts w:ascii="Calibri" w:hAnsi="Calibri" w:cs="Calibri"/>
              </w:rPr>
              <w:lastRenderedPageBreak/>
              <w:t>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D2295" w:rsidRDefault="003D2295">
            <w:pPr>
              <w:widowControl w:val="0"/>
              <w:autoSpaceDE w:val="0"/>
              <w:autoSpaceDN w:val="0"/>
              <w:adjustRightInd w:val="0"/>
              <w:spacing w:after="0" w:line="240" w:lineRule="auto"/>
              <w:jc w:val="both"/>
              <w:rPr>
                <w:rFonts w:ascii="Calibri" w:hAnsi="Calibri" w:cs="Calibri"/>
              </w:rPr>
            </w:pPr>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3D229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 суток)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руб./кВт x 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0,41539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0,65083</w:t>
            </w:r>
          </w:p>
        </w:tc>
      </w:tr>
    </w:tbl>
    <w:p w:rsidR="003D2295" w:rsidRDefault="003D2295">
      <w:pPr>
        <w:pStyle w:val="ConsPlusNonformat"/>
        <w:jc w:val="both"/>
      </w:pPr>
      <w:r>
        <w:t xml:space="preserve">                                                       ".</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right"/>
        <w:outlineLvl w:val="0"/>
        <w:rPr>
          <w:rFonts w:ascii="Calibri" w:hAnsi="Calibri" w:cs="Calibri"/>
        </w:rPr>
      </w:pPr>
      <w:bookmarkStart w:id="5" w:name="Par117"/>
      <w:bookmarkEnd w:id="5"/>
      <w:r>
        <w:rPr>
          <w:rFonts w:ascii="Calibri" w:hAnsi="Calibri" w:cs="Calibri"/>
        </w:rPr>
        <w:t>Приложение N 2</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от 29.06.2015 N 6-128</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5</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тарифного регулирования</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3D2295" w:rsidRDefault="003D2295">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6/9(750)</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center"/>
        <w:rPr>
          <w:rFonts w:ascii="Calibri" w:hAnsi="Calibri" w:cs="Calibri"/>
          <w:b/>
          <w:bCs/>
        </w:rPr>
      </w:pPr>
      <w:bookmarkStart w:id="6" w:name="Par128"/>
      <w:bookmarkEnd w:id="6"/>
      <w:r>
        <w:rPr>
          <w:rFonts w:ascii="Calibri" w:hAnsi="Calibri" w:cs="Calibri"/>
          <w:b/>
          <w:bCs/>
        </w:rPr>
        <w:t>ЦЕНЫ (ТАРИФЫ)</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УРОВНЮ</w:t>
      </w:r>
    </w:p>
    <w:p w:rsidR="003D2295" w:rsidRDefault="003D2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НАПРЯЖЕНИЯ (ВН</w:t>
      </w:r>
      <w:proofErr w:type="gramStart"/>
      <w:r>
        <w:rPr>
          <w:rFonts w:ascii="Calibri" w:hAnsi="Calibri" w:cs="Calibri"/>
          <w:b/>
          <w:bCs/>
        </w:rPr>
        <w:t>1</w:t>
      </w:r>
      <w:proofErr w:type="gramEnd"/>
      <w:r>
        <w:rPr>
          <w:rFonts w:ascii="Calibri" w:hAnsi="Calibri" w:cs="Calibri"/>
          <w:b/>
          <w:bCs/>
        </w:rPr>
        <w:t>) НА 2015 ГОД</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(тарифы указываются без учета НДС)</w:t>
      </w:r>
    </w:p>
    <w:p w:rsidR="003D2295" w:rsidRDefault="003D229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1134"/>
        <w:gridCol w:w="2721"/>
        <w:gridCol w:w="1474"/>
        <w:gridCol w:w="4139"/>
        <w:gridCol w:w="3912"/>
      </w:tblGrid>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Цены (тарифы) на услуги по передаче электрической энергии по уровню напряжения (ВН</w:t>
            </w:r>
            <w:proofErr w:type="gramStart"/>
            <w:r>
              <w:rPr>
                <w:rFonts w:ascii="Calibri" w:hAnsi="Calibri" w:cs="Calibri"/>
              </w:rPr>
              <w:t>1</w:t>
            </w:r>
            <w:proofErr w:type="gramEnd"/>
            <w:r>
              <w:rPr>
                <w:rFonts w:ascii="Calibri" w:hAnsi="Calibri" w:cs="Calibri"/>
              </w:rPr>
              <w:t>)</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составляющих цен (тарифов) на услуги по передаче электрической энергии по уровню напряжения (ВН</w:t>
            </w:r>
            <w:proofErr w:type="gramStart"/>
            <w:r>
              <w:rPr>
                <w:rFonts w:ascii="Calibri" w:hAnsi="Calibri" w:cs="Calibri"/>
              </w:rPr>
              <w:t>1</w:t>
            </w:r>
            <w:proofErr w:type="gramEnd"/>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p>
        </w:tc>
        <w:tc>
          <w:tcPr>
            <w:tcW w:w="13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электрических сетей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20.7pt">
                  <v:imagedata r:id="rId12"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мес.</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26" type="#_x0000_t75" style="width:204.4pt;height:24pt">
                  <v:imagedata r:id="rId13" o:title=""/>
                </v:shape>
              </w:pic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27" type="#_x0000_t75" style="width:204.4pt;height:24pt">
                  <v:imagedata r:id="rId13" o:title=""/>
                </v:shape>
              </w:pic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технологического расхода (потерь) </w:t>
            </w:r>
            <w:r>
              <w:rPr>
                <w:rFonts w:ascii="Calibri" w:hAnsi="Calibri" w:cs="Calibri"/>
                <w:position w:val="-12"/>
              </w:rPr>
              <w:pict>
                <v:shape id="_x0000_i1028" type="#_x0000_t75" style="width:38.9pt;height:20.7pt">
                  <v:imagedata r:id="rId14" o:title=""/>
                </v:shape>
              </w:pic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9" type="#_x0000_t75" style="width:125.8pt;height:20.7pt">
                  <v:imagedata r:id="rId15" o:title=""/>
                </v:shape>
              </w:pic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25.8pt;height:20.7pt">
                  <v:imagedata r:id="rId15" o:title=""/>
                </v:shape>
              </w:pic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Составляющие цен (тарифов) на услуги по передаче электрической энергии по уровню напряжения (ВН</w:t>
            </w:r>
            <w:proofErr w:type="gramStart"/>
            <w:r>
              <w:rPr>
                <w:rFonts w:ascii="Calibri" w:hAnsi="Calibri" w:cs="Calibri"/>
              </w:rPr>
              <w:t>1</w:t>
            </w:r>
            <w:proofErr w:type="gramEnd"/>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031" type="#_x0000_t75" style="width:40.55pt;height:20.7pt">
                  <v:imagedata r:id="rId16" o:title=""/>
                </v:shape>
              </w:pic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w:t>
            </w:r>
            <w:r>
              <w:rPr>
                <w:rFonts w:ascii="Calibri" w:hAnsi="Calibri" w:cs="Calibri"/>
              </w:rPr>
              <w:lastRenderedPageBreak/>
              <w:t>субъектов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руб./МВт x мес.</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134589,17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144683,36</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032" type="#_x0000_t75" style="width:22.35pt;height:17.4pt">
                  <v:imagedata r:id="rId17" o:title=""/>
                </v:shape>
              </w:pic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перекрестного субсидирования на территории Томской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656,00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432,96</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033" type="#_x0000_t75" style="width:16.55pt;height:19.85pt">
                  <v:imagedata r:id="rId18" o:title=""/>
                </v:shape>
              </w:pic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снижения ставки перекрестного субсидирования на территории Томской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3D229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034" type="#_x0000_t75" style="width:40.55pt;height:20.7pt">
                  <v:imagedata r:id="rId19" o:title=""/>
                </v:shape>
              </w:pic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на территории Томской области потребителем услуг по передаче электрической энергии по единой национальной (общероссийской) электрической сети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руб./МВт x ч</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1325,39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5" type="#_x0000_t75" style="width:90.2pt;height:42.2pt">
                  <v:imagedata r:id="rId20" o:title=""/>
                </v:shape>
              </w:pict>
            </w:r>
          </w:p>
        </w:tc>
      </w:tr>
      <w:tr w:rsidR="003D229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rPr>
                <w:rFonts w:ascii="Calibri" w:hAnsi="Calibri" w:cs="Calibri"/>
              </w:rPr>
            </w:pPr>
            <w:r>
              <w:rPr>
                <w:rFonts w:ascii="Calibri" w:hAnsi="Calibri" w:cs="Calibri"/>
              </w:rPr>
              <w:t>НТПЭ</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потерь электрической энергии при ее передаче по электрическим сетям </w:t>
            </w:r>
            <w:r>
              <w:rPr>
                <w:rFonts w:ascii="Calibri" w:hAnsi="Calibri" w:cs="Calibri"/>
              </w:rPr>
              <w:lastRenderedPageBreak/>
              <w:t>единой национальной (общероссийской) электрической сети для соответствующего класса напряжения, утвержденный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D229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ind w:left="283"/>
              <w:rPr>
                <w:rFonts w:ascii="Calibri" w:hAnsi="Calibri" w:cs="Calibri"/>
              </w:rPr>
            </w:pPr>
            <w:r>
              <w:rPr>
                <w:rFonts w:ascii="Calibri" w:hAnsi="Calibri" w:cs="Calibri"/>
              </w:rPr>
              <w:t>330 кВ и выше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D229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295" w:rsidRDefault="003D2295">
            <w:pPr>
              <w:widowControl w:val="0"/>
              <w:autoSpaceDE w:val="0"/>
              <w:autoSpaceDN w:val="0"/>
              <w:adjustRightInd w:val="0"/>
              <w:spacing w:after="0" w:line="240" w:lineRule="auto"/>
              <w:ind w:left="283"/>
              <w:rPr>
                <w:rFonts w:ascii="Calibri" w:hAnsi="Calibri" w:cs="Calibri"/>
              </w:rPr>
            </w:pPr>
            <w:r>
              <w:rPr>
                <w:rFonts w:ascii="Calibri" w:hAnsi="Calibri" w:cs="Calibri"/>
              </w:rPr>
              <w:t>220 кВ и ниже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295" w:rsidRDefault="003D2295">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r>
    </w:tbl>
    <w:p w:rsidR="003D2295" w:rsidRDefault="003D2295">
      <w:pPr>
        <w:widowControl w:val="0"/>
        <w:autoSpaceDE w:val="0"/>
        <w:autoSpaceDN w:val="0"/>
        <w:adjustRightInd w:val="0"/>
        <w:spacing w:after="0" w:line="240" w:lineRule="auto"/>
        <w:jc w:val="both"/>
        <w:rPr>
          <w:rFonts w:ascii="Calibri" w:hAnsi="Calibri" w:cs="Calibri"/>
        </w:rPr>
        <w:sectPr w:rsidR="003D2295">
          <w:pgSz w:w="16838" w:h="11905" w:orient="landscape"/>
          <w:pgMar w:top="1701" w:right="1134" w:bottom="850" w:left="1134" w:header="720" w:footer="720" w:gutter="0"/>
          <w:cols w:space="720"/>
          <w:noEndnote/>
        </w:sect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8.9pt;height:20.7pt">
            <v:imagedata r:id="rId21" o:title=""/>
          </v:shape>
        </w:pict>
      </w:r>
      <w:r>
        <w:rPr>
          <w:rFonts w:ascii="Calibri" w:hAnsi="Calibri" w:cs="Calibri"/>
        </w:rPr>
        <w:t xml:space="preserve"> - объем полезного отпуска электрической энергии потребителей на уровне напряжения ВН</w:t>
      </w:r>
      <w:proofErr w:type="gramStart"/>
      <w:r>
        <w:rPr>
          <w:rFonts w:ascii="Calibri" w:hAnsi="Calibri" w:cs="Calibri"/>
        </w:rPr>
        <w:t>1</w:t>
      </w:r>
      <w:proofErr w:type="gramEnd"/>
      <w:r>
        <w:rPr>
          <w:rFonts w:ascii="Calibri" w:hAnsi="Calibri" w:cs="Calibri"/>
        </w:rPr>
        <w:t xml:space="preserve"> за отчетный месяц 2015 года, МВт x ч;</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33.95pt;height:20.7pt">
            <v:imagedata r:id="rId22" o:title=""/>
          </v:shape>
        </w:pict>
      </w:r>
      <w:r>
        <w:rPr>
          <w:rFonts w:ascii="Calibri" w:hAnsi="Calibri" w:cs="Calibri"/>
        </w:rPr>
        <w:t xml:space="preserve"> - объем мощности потребителей на уровне напряжения ВН</w:t>
      </w:r>
      <w:proofErr w:type="gramStart"/>
      <w:r>
        <w:rPr>
          <w:rFonts w:ascii="Calibri" w:hAnsi="Calibri" w:cs="Calibri"/>
        </w:rPr>
        <w:t>1</w:t>
      </w:r>
      <w:proofErr w:type="gramEnd"/>
      <w:r>
        <w:rPr>
          <w:rFonts w:ascii="Calibri" w:hAnsi="Calibri" w:cs="Calibri"/>
        </w:rPr>
        <w:t xml:space="preserve"> за отчетный месяц 2015 года, МВт x мес.;</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40.55pt;height:20.7pt">
            <v:imagedata r:id="rId23" o:title=""/>
          </v:shape>
        </w:pict>
      </w:r>
      <w:r>
        <w:rPr>
          <w:rFonts w:ascii="Calibri" w:hAnsi="Calibri" w:cs="Calibri"/>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2015 год, утвержденная </w:t>
      </w:r>
      <w:hyperlink r:id="rId24" w:history="1">
        <w:r>
          <w:rPr>
            <w:rFonts w:ascii="Calibri" w:hAnsi="Calibri" w:cs="Calibri"/>
            <w:color w:val="0000FF"/>
          </w:rPr>
          <w:t>Приказом</w:t>
        </w:r>
      </w:hyperlink>
      <w:r>
        <w:rPr>
          <w:rFonts w:ascii="Calibri" w:hAnsi="Calibri" w:cs="Calibri"/>
        </w:rPr>
        <w:t xml:space="preserve"> ФСТ России от 09.12.2014 N 297-э/3, руб./МВт x мес.;</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40.55pt;height:20.7pt">
            <v:imagedata r:id="rId25" o:title=""/>
          </v:shape>
        </w:pict>
      </w:r>
      <w:r>
        <w:rPr>
          <w:rFonts w:ascii="Calibri" w:hAnsi="Calibri" w:cs="Calibri"/>
        </w:rPr>
        <w:t xml:space="preserve"> - </w:t>
      </w:r>
      <w:hyperlink r:id="rId26" w:history="1">
        <w:r>
          <w:rPr>
            <w:rFonts w:ascii="Calibri" w:hAnsi="Calibri" w:cs="Calibri"/>
            <w:color w:val="0000FF"/>
          </w:rPr>
          <w:t>ставка</w:t>
        </w:r>
      </w:hyperlink>
      <w:r>
        <w:rPr>
          <w:rFonts w:ascii="Calibri" w:hAnsi="Calibri" w:cs="Calibri"/>
        </w:rPr>
        <w:t xml:space="preserve">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на 2015 год, утвержденная Приказом ФСТ России от 09.12.2014 N 297-э/3, руб./МВт x ч;</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72.85pt;height:22.35pt">
            <v:imagedata r:id="rId27" o:title=""/>
          </v:shape>
        </w:pict>
      </w:r>
      <w:r>
        <w:rPr>
          <w:rFonts w:ascii="Calibri" w:hAnsi="Calibri" w:cs="Calibri"/>
        </w:rPr>
        <w:t xml:space="preserve"> </w:t>
      </w:r>
      <w:proofErr w:type="gramStart"/>
      <w:r>
        <w:rPr>
          <w:rFonts w:ascii="Calibri" w:hAnsi="Calibri" w:cs="Calibri"/>
        </w:rPr>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3D2295" w:rsidRDefault="003D22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 отношении i-го субъекта Российской Федерации, который отнесен к ценовым зонам оптового рынка электрической энергии и мощности, - исходя из определенных в соответствии с порядком, установленным </w:t>
      </w:r>
      <w:hyperlink r:id="rId2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w:t>
      </w:r>
      <w:proofErr w:type="gramEnd"/>
      <w:r>
        <w:rPr>
          <w:rFonts w:ascii="Calibri" w:hAnsi="Calibri" w:cs="Calibri"/>
        </w:rPr>
        <w:t xml:space="preserve"> </w:t>
      </w:r>
      <w:proofErr w:type="gramStart"/>
      <w:r>
        <w:rPr>
          <w:rFonts w:ascii="Calibri" w:hAnsi="Calibri" w:cs="Calibri"/>
        </w:rPr>
        <w:t>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w:t>
      </w:r>
      <w:proofErr w:type="gramEnd"/>
      <w:r>
        <w:rPr>
          <w:rFonts w:ascii="Calibri" w:hAnsi="Calibri" w:cs="Calibri"/>
        </w:rPr>
        <w:t xml:space="preserve"> (</w:t>
      </w:r>
      <w:proofErr w:type="gramStart"/>
      <w:r>
        <w:rPr>
          <w:rFonts w:ascii="Calibri" w:hAnsi="Calibri" w:cs="Calibri"/>
        </w:rPr>
        <w:t xml:space="preserve">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29" w:history="1">
        <w:r>
          <w:rPr>
            <w:rFonts w:ascii="Calibri" w:hAnsi="Calibri" w:cs="Calibri"/>
            <w:color w:val="0000FF"/>
          </w:rPr>
          <w:t>Правилами</w:t>
        </w:r>
      </w:hyperlink>
      <w:r>
        <w:rPr>
          <w:rFonts w:ascii="Calibri" w:hAnsi="Calibri" w:cs="Calibri"/>
        </w:rP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w:t>
      </w:r>
      <w:proofErr w:type="gramEnd"/>
      <w:r>
        <w:rPr>
          <w:rFonts w:ascii="Calibri" w:hAnsi="Calibri" w:cs="Calibri"/>
        </w:rPr>
        <w:t xml:space="preserve"> в ценовой зоне (требований поставщиков над обязательствами покупателей), рублей;</w:t>
      </w:r>
    </w:p>
    <w:p w:rsidR="003D2295" w:rsidRDefault="003D22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w:t>
      </w:r>
      <w:proofErr w:type="gramEnd"/>
      <w:r>
        <w:rPr>
          <w:rFonts w:ascii="Calibri" w:hAnsi="Calibri" w:cs="Calibri"/>
        </w:rPr>
        <w:t xml:space="preserve">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3D2295" w:rsidRDefault="003D229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59.6pt;height:22.35pt">
            <v:imagedata r:id="rId31" o:title=""/>
          </v:shape>
        </w:pict>
      </w:r>
      <w:r>
        <w:rPr>
          <w:rFonts w:ascii="Calibri" w:hAnsi="Calibri" w:cs="Calibri"/>
        </w:rPr>
        <w:t xml:space="preserve"> </w:t>
      </w:r>
      <w:proofErr w:type="gramStart"/>
      <w:r>
        <w:rPr>
          <w:rFonts w:ascii="Calibri" w:hAnsi="Calibri" w:cs="Calibri"/>
        </w:rPr>
        <w:t xml:space="preserve">- объем потерь электрической энергии в электрических сетях единой </w:t>
      </w:r>
      <w:r>
        <w:rPr>
          <w:rFonts w:ascii="Calibri" w:hAnsi="Calibri" w:cs="Calibri"/>
        </w:rPr>
        <w:lastRenderedPageBreak/>
        <w:t>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w:t>
      </w:r>
      <w:proofErr w:type="gramEnd"/>
      <w:r>
        <w:rPr>
          <w:rFonts w:ascii="Calibri" w:hAnsi="Calibri" w:cs="Calibri"/>
        </w:rPr>
        <w:t xml:space="preserve"> за расчетным, и отнесенного на i-й субъект Российской Федерации, МВт x ч".</w:t>
      </w: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autoSpaceDE w:val="0"/>
        <w:autoSpaceDN w:val="0"/>
        <w:adjustRightInd w:val="0"/>
        <w:spacing w:after="0" w:line="240" w:lineRule="auto"/>
        <w:jc w:val="both"/>
        <w:rPr>
          <w:rFonts w:ascii="Calibri" w:hAnsi="Calibri" w:cs="Calibri"/>
        </w:rPr>
      </w:pPr>
    </w:p>
    <w:p w:rsidR="003D2295" w:rsidRDefault="003D22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5DE1" w:rsidRDefault="003D2295">
      <w:bookmarkStart w:id="7" w:name="_GoBack"/>
      <w:bookmarkEnd w:id="7"/>
    </w:p>
    <w:sectPr w:rsidR="003D5DE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95"/>
    <w:rsid w:val="003D2295"/>
    <w:rsid w:val="00BB557C"/>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22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22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27060BDE4935B3A62ADBD0FE0B103FE72D3C35227CCBBA7AA7FA65D698FC5B9Q9N"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95927060BDE4935B3A62B3B0198CEF07FE718CC65D21CFE5F3F524FB0A608592DE5540B274BCCDBFBCQ7N" TargetMode="Externa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consultantplus://offline/ref=95927060BDE4935B3A62ADBD0FE0B103FE72D3C35227CDBAA9AA7FA65D698FC5991A19F030B0CDBCCE2E1DB5Q4N"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95927060BDE4935B3A62B3B0198CEF07FE7E8EC75B25CFE5F3F524FB0A608592DE5540B274BDCDBCBCQDN" TargetMode="External"/><Relationship Id="rId1" Type="http://schemas.openxmlformats.org/officeDocument/2006/relationships/styles" Target="styles.xml"/><Relationship Id="rId6" Type="http://schemas.openxmlformats.org/officeDocument/2006/relationships/hyperlink" Target="consultantplus://offline/ref=95927060BDE4935B3A62B3B0198CEF07FE718DCA5920CFE5F3F524FB0AB6Q0N" TargetMode="External"/><Relationship Id="rId11" Type="http://schemas.openxmlformats.org/officeDocument/2006/relationships/hyperlink" Target="consultantplus://offline/ref=95927060BDE4935B3A62B3B0198CEF07FE718DCD5922CFE5F3F524FB0A608592DE5540B27CBBQDN" TargetMode="External"/><Relationship Id="rId24" Type="http://schemas.openxmlformats.org/officeDocument/2006/relationships/hyperlink" Target="consultantplus://offline/ref=95927060BDE4935B3A62B3B0198CEF07FE718CC65D21CFE5F3F524FB0AB6Q0N"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95927060BDE4935B3A62B3B0198CEF07FE7E84CA5329CFE5F3F524FB0A608592DE5540B274BDCCBEBCQ9N" TargetMode="External"/><Relationship Id="rId10" Type="http://schemas.openxmlformats.org/officeDocument/2006/relationships/hyperlink" Target="consultantplus://offline/ref=95927060BDE4935B3A62ADBD0FE0B103FE72D3C35227CCBBA7AA7FA65D698FC5991A19F030B0CDBCCE2F1BB5QFN" TargetMode="External"/><Relationship Id="rId19" Type="http://schemas.openxmlformats.org/officeDocument/2006/relationships/image" Target="media/image8.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consultantplus://offline/ref=95927060BDE4935B3A62ADBD0FE0B103FE72D3C35227CCBBA7AA7FA65D698FC5991A19F030B0CDBCCE2F1CB5Q0N"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hyperlink" Target="consultantplus://offline/ref=95927060BDE4935B3A62B3B0198CEF07FE7E84CA5329CFE5F3F524FB0A608592DE5540B274BDCCBEBC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Бухров Евгений Александрович</dc:creator>
  <cp:lastModifiedBy>Бухров Евгений Александрович</cp:lastModifiedBy>
  <cp:revision>1</cp:revision>
  <dcterms:created xsi:type="dcterms:W3CDTF">2015-07-28T13:16:00Z</dcterms:created>
  <dcterms:modified xsi:type="dcterms:W3CDTF">2015-07-28T13:16:00Z</dcterms:modified>
</cp:coreProperties>
</file>