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8B" w:rsidRDefault="00B0208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208B" w:rsidRDefault="00B0208B">
      <w:pPr>
        <w:pStyle w:val="ConsPlusNormal"/>
        <w:jc w:val="both"/>
        <w:outlineLvl w:val="0"/>
      </w:pPr>
    </w:p>
    <w:p w:rsidR="00B0208B" w:rsidRDefault="00B0208B">
      <w:pPr>
        <w:pStyle w:val="ConsPlusTitle"/>
        <w:jc w:val="center"/>
        <w:outlineLvl w:val="0"/>
      </w:pPr>
      <w:r>
        <w:t>ДЕПАРТАМЕНТ ГОСУДАРСТВЕННОГО РЕГУЛИРОВАНИЯ ТАРИФОВ</w:t>
      </w:r>
    </w:p>
    <w:p w:rsidR="00B0208B" w:rsidRDefault="00B0208B">
      <w:pPr>
        <w:pStyle w:val="ConsPlusTitle"/>
        <w:jc w:val="center"/>
      </w:pPr>
      <w:r>
        <w:t>КРАСНОДАРСКОГО КРАЯ</w:t>
      </w:r>
    </w:p>
    <w:p w:rsidR="00B0208B" w:rsidRDefault="00B0208B">
      <w:pPr>
        <w:pStyle w:val="ConsPlusTitle"/>
        <w:jc w:val="both"/>
      </w:pPr>
    </w:p>
    <w:p w:rsidR="00B0208B" w:rsidRDefault="00B0208B">
      <w:pPr>
        <w:pStyle w:val="ConsPlusTitle"/>
        <w:jc w:val="center"/>
      </w:pPr>
      <w:r>
        <w:t>ПРИКАЗ</w:t>
      </w:r>
    </w:p>
    <w:p w:rsidR="00B0208B" w:rsidRDefault="00B0208B">
      <w:pPr>
        <w:pStyle w:val="ConsPlusTitle"/>
        <w:jc w:val="center"/>
      </w:pPr>
      <w:r>
        <w:t>от 24 ноября 2023 г. N 27/2023-э</w:t>
      </w:r>
    </w:p>
    <w:p w:rsidR="00B0208B" w:rsidRDefault="00B0208B">
      <w:pPr>
        <w:pStyle w:val="ConsPlusTitle"/>
        <w:jc w:val="both"/>
      </w:pPr>
    </w:p>
    <w:p w:rsidR="00B0208B" w:rsidRDefault="00B0208B">
      <w:pPr>
        <w:pStyle w:val="ConsPlusTitle"/>
        <w:jc w:val="center"/>
      </w:pPr>
      <w:r>
        <w:t>ОБ УСТАНОВЛЕНИИ</w:t>
      </w:r>
    </w:p>
    <w:p w:rsidR="00B0208B" w:rsidRDefault="00B0208B">
      <w:pPr>
        <w:pStyle w:val="ConsPlusTitle"/>
        <w:jc w:val="center"/>
      </w:pPr>
      <w:r>
        <w:t>ЦЕН (ТАРИФОВ) НА ЭЛЕКТРИЧЕСКУЮ ЭНЕРГИЮ</w:t>
      </w:r>
    </w:p>
    <w:p w:rsidR="00B0208B" w:rsidRDefault="00B0208B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B0208B" w:rsidRDefault="00B0208B">
      <w:pPr>
        <w:pStyle w:val="ConsPlusTitle"/>
        <w:jc w:val="center"/>
      </w:pPr>
      <w:r>
        <w:t>ПО КРАСНОДАРСКОМУ КРАЮ, РЕСПУБЛИКЕ АДЫГЕЯ И ФЕДЕРАЛЬНОЙ</w:t>
      </w:r>
    </w:p>
    <w:p w:rsidR="00B0208B" w:rsidRDefault="00B0208B">
      <w:pPr>
        <w:pStyle w:val="ConsPlusTitle"/>
        <w:jc w:val="center"/>
      </w:pPr>
      <w:r>
        <w:t>ТЕРРИТОРИИ "СИРИУС"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постановлениями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на основании решения правления департамента государственного регулирования тарифов Краснодарского края приказываю: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Краснодарскому краю, Республике Адыгея и федеральной территории "Сириус" на 2024 год (приложение 1).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790">
        <w:r>
          <w:rPr>
            <w:color w:val="0000FF"/>
          </w:rPr>
          <w:t>диапазоны</w:t>
        </w:r>
      </w:hyperlink>
      <w:r>
        <w:t xml:space="preserve"> объемов потребления электрической энергии населением и приравненными к нему категориями потребителей (приложение 2).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 xml:space="preserve">3. Применить понижающие </w:t>
      </w:r>
      <w:hyperlink w:anchor="P1055">
        <w:r>
          <w:rPr>
            <w:color w:val="0000FF"/>
          </w:rPr>
          <w:t>коэффициенты</w:t>
        </w:r>
      </w:hyperlink>
      <w:r>
        <w:t xml:space="preserve"> при установлении цен (тарифов) на электрическую энергию (мощность) (приложение 3).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 xml:space="preserve">4. Определить балансовые </w:t>
      </w:r>
      <w:hyperlink w:anchor="P1149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(приложение 4).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департамента государственного регулирования тарифов Краснодарского края от 16.11.2022 N 32/2022-э "Об установлении цен (тарифов) на электрическую энергию для населения и приравненных к нему категорий потребителей по Краснодарскому краю, Республике Адыгея и федеральной территории "Сириус".</w:t>
      </w:r>
    </w:p>
    <w:p w:rsidR="00B0208B" w:rsidRDefault="00B0208B">
      <w:pPr>
        <w:pStyle w:val="ConsPlusNormal"/>
        <w:spacing w:before="220"/>
        <w:ind w:firstLine="540"/>
        <w:jc w:val="both"/>
      </w:pPr>
      <w:r>
        <w:t>6. Приказ вступает в силу с 1 января 2024 г.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</w:pPr>
      <w:r>
        <w:t>Руководитель</w:t>
      </w:r>
    </w:p>
    <w:p w:rsidR="00B0208B" w:rsidRDefault="00B0208B">
      <w:pPr>
        <w:pStyle w:val="ConsPlusNormal"/>
        <w:jc w:val="right"/>
      </w:pPr>
      <w:r>
        <w:t>С.Н.МИЛОВАНОВ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  <w:outlineLvl w:val="0"/>
      </w:pPr>
      <w:r>
        <w:t>Приложение 1</w:t>
      </w:r>
    </w:p>
    <w:p w:rsidR="00B0208B" w:rsidRDefault="00B0208B">
      <w:pPr>
        <w:pStyle w:val="ConsPlusNormal"/>
        <w:jc w:val="right"/>
      </w:pPr>
      <w:r>
        <w:t>к приказу</w:t>
      </w:r>
    </w:p>
    <w:p w:rsidR="00B0208B" w:rsidRDefault="00B0208B">
      <w:pPr>
        <w:pStyle w:val="ConsPlusNormal"/>
        <w:jc w:val="right"/>
      </w:pPr>
      <w:r>
        <w:t>департамента государственного</w:t>
      </w:r>
    </w:p>
    <w:p w:rsidR="00B0208B" w:rsidRDefault="00B0208B">
      <w:pPr>
        <w:pStyle w:val="ConsPlusNormal"/>
        <w:jc w:val="right"/>
      </w:pPr>
      <w:r>
        <w:t>регулирования тарифов</w:t>
      </w:r>
    </w:p>
    <w:p w:rsidR="00B0208B" w:rsidRDefault="00B0208B">
      <w:pPr>
        <w:pStyle w:val="ConsPlusNormal"/>
        <w:jc w:val="right"/>
      </w:pPr>
      <w:r>
        <w:lastRenderedPageBreak/>
        <w:t>Краснодарского края</w:t>
      </w:r>
    </w:p>
    <w:p w:rsidR="00B0208B" w:rsidRDefault="00B0208B">
      <w:pPr>
        <w:pStyle w:val="ConsPlusNormal"/>
        <w:jc w:val="right"/>
      </w:pPr>
      <w:r>
        <w:t>от 24 ноября 2023 г. N 27/2023-э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Title"/>
        <w:jc w:val="center"/>
      </w:pPr>
      <w:bookmarkStart w:id="0" w:name="P35"/>
      <w:bookmarkEnd w:id="0"/>
      <w:r>
        <w:t>ЦЕНЫ (ТАРИФЫ)</w:t>
      </w:r>
    </w:p>
    <w:p w:rsidR="00B0208B" w:rsidRDefault="00B0208B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B0208B" w:rsidRDefault="00B0208B">
      <w:pPr>
        <w:pStyle w:val="ConsPlusTitle"/>
        <w:jc w:val="center"/>
      </w:pPr>
      <w:r>
        <w:t>КАТЕГОРИЙ ПОТРЕБИТЕЛЕЙ ПО КРАСНОДАРСКОМУ КРАЮ, РЕСПУБЛИКЕ</w:t>
      </w:r>
    </w:p>
    <w:p w:rsidR="00B0208B" w:rsidRDefault="00B0208B">
      <w:pPr>
        <w:pStyle w:val="ConsPlusTitle"/>
        <w:jc w:val="center"/>
      </w:pPr>
      <w:r>
        <w:t>АДЫГЕЯ И ФЕДЕРАЛЬНОЙ ТЕРРИТОРИИ "СИРИУС"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sectPr w:rsidR="00B0208B" w:rsidSect="00AA4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1"/>
        <w:gridCol w:w="6973"/>
        <w:gridCol w:w="997"/>
        <w:gridCol w:w="940"/>
        <w:gridCol w:w="936"/>
        <w:gridCol w:w="932"/>
        <w:gridCol w:w="932"/>
        <w:gridCol w:w="972"/>
      </w:tblGrid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73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5709" w:type="dxa"/>
            <w:gridSpan w:val="6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Цена (тариф), руб./кВт-ч (с учетом НДС)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2873" w:type="dxa"/>
            <w:gridSpan w:val="3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836" w:type="dxa"/>
            <w:gridSpan w:val="3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82" w:type="dxa"/>
            <w:gridSpan w:val="7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23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" w:name="P111"/>
            <w:bookmarkEnd w:id="1"/>
            <w:r>
              <w:t>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2" w:name="P267"/>
            <w:bookmarkEnd w:id="2"/>
            <w:r>
              <w:t>5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3" w:name="P371"/>
            <w:bookmarkEnd w:id="3"/>
            <w:r>
              <w:t>7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4" w:name="P423"/>
            <w:bookmarkEnd w:id="4"/>
            <w:r>
              <w:t>8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67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71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7,47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6,65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3,99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9.2.3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0208B" w:rsidRDefault="00B0208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</w:t>
            </w:r>
          </w:p>
        </w:tc>
      </w:tr>
      <w:tr w:rsidR="00B0208B">
        <w:tc>
          <w:tcPr>
            <w:tcW w:w="87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10,66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  <w:tr w:rsidR="00B0208B">
        <w:tc>
          <w:tcPr>
            <w:tcW w:w="871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9.6.3</w:t>
            </w:r>
          </w:p>
        </w:tc>
        <w:tc>
          <w:tcPr>
            <w:tcW w:w="12682" w:type="dxa"/>
            <w:gridSpan w:val="7"/>
            <w:vAlign w:val="center"/>
          </w:tcPr>
          <w:p w:rsidR="00B0208B" w:rsidRDefault="00B0208B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10,67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9,50</w:t>
            </w:r>
          </w:p>
        </w:tc>
      </w:tr>
      <w:tr w:rsidR="00B0208B">
        <w:tc>
          <w:tcPr>
            <w:tcW w:w="871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99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40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3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72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5,70</w:t>
            </w:r>
          </w:p>
        </w:tc>
      </w:tr>
    </w:tbl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</w:pPr>
      <w:r>
        <w:t>Начальник отдела цен</w:t>
      </w:r>
    </w:p>
    <w:p w:rsidR="00B0208B" w:rsidRDefault="00B0208B">
      <w:pPr>
        <w:pStyle w:val="ConsPlusNormal"/>
        <w:jc w:val="right"/>
      </w:pPr>
      <w:r>
        <w:t>и тарифов на электроэнергию</w:t>
      </w:r>
    </w:p>
    <w:p w:rsidR="00B0208B" w:rsidRDefault="00B0208B">
      <w:pPr>
        <w:pStyle w:val="ConsPlusNormal"/>
        <w:jc w:val="right"/>
      </w:pPr>
      <w:r>
        <w:t>Ю.В.НЕЧЕСОВ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  <w:outlineLvl w:val="0"/>
      </w:pPr>
      <w:r>
        <w:t>Приложение 2</w:t>
      </w:r>
    </w:p>
    <w:p w:rsidR="00B0208B" w:rsidRDefault="00B0208B">
      <w:pPr>
        <w:pStyle w:val="ConsPlusNormal"/>
        <w:jc w:val="right"/>
      </w:pPr>
      <w:r>
        <w:t>к приказу</w:t>
      </w:r>
    </w:p>
    <w:p w:rsidR="00B0208B" w:rsidRDefault="00B0208B">
      <w:pPr>
        <w:pStyle w:val="ConsPlusNormal"/>
        <w:jc w:val="right"/>
      </w:pPr>
      <w:r>
        <w:t>департамента государственного</w:t>
      </w:r>
    </w:p>
    <w:p w:rsidR="00B0208B" w:rsidRDefault="00B0208B">
      <w:pPr>
        <w:pStyle w:val="ConsPlusNormal"/>
        <w:jc w:val="right"/>
      </w:pPr>
      <w:r>
        <w:t>регулирования тарифов</w:t>
      </w:r>
    </w:p>
    <w:p w:rsidR="00B0208B" w:rsidRDefault="00B0208B">
      <w:pPr>
        <w:pStyle w:val="ConsPlusNormal"/>
        <w:jc w:val="right"/>
      </w:pPr>
      <w:r>
        <w:t>Краснодарского края</w:t>
      </w:r>
    </w:p>
    <w:p w:rsidR="00B0208B" w:rsidRDefault="00B0208B">
      <w:pPr>
        <w:pStyle w:val="ConsPlusNormal"/>
        <w:jc w:val="right"/>
      </w:pPr>
      <w:r>
        <w:t>от 24 ноября 2023 г. N 27/2023-э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Title"/>
        <w:jc w:val="center"/>
      </w:pPr>
      <w:bookmarkStart w:id="5" w:name="P790"/>
      <w:bookmarkEnd w:id="5"/>
      <w:r>
        <w:t>ДИАПАЗОНЫ</w:t>
      </w:r>
    </w:p>
    <w:p w:rsidR="00B0208B" w:rsidRDefault="00B0208B">
      <w:pPr>
        <w:pStyle w:val="ConsPlusTitle"/>
        <w:jc w:val="center"/>
      </w:pPr>
      <w:r>
        <w:t>ОБЪЕМОВ ПОТРЕБЛЕНИЯ ЭЛЕКТРИЧЕСКОЙ ЭНЕРГИИ</w:t>
      </w:r>
    </w:p>
    <w:p w:rsidR="00B0208B" w:rsidRDefault="00B020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576"/>
        <w:gridCol w:w="2027"/>
        <w:gridCol w:w="2048"/>
        <w:gridCol w:w="2059"/>
      </w:tblGrid>
      <w:tr w:rsidR="00B0208B">
        <w:tc>
          <w:tcPr>
            <w:tcW w:w="70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 xml:space="preserve">Первый диапазон объемов потребления электрической </w:t>
            </w:r>
            <w:r>
              <w:lastRenderedPageBreak/>
              <w:t>энергии, кВт-ч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 xml:space="preserve">Второй диапазон объемов потребления электрической </w:t>
            </w:r>
            <w:r>
              <w:lastRenderedPageBreak/>
              <w:t>энергии, кВт-ч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 xml:space="preserve">Третий диапазон объемов потребления электрической </w:t>
            </w:r>
            <w:r>
              <w:lastRenderedPageBreak/>
              <w:t>энергии, кВт-ч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9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977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027" w:type="dxa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6" w:name="P819"/>
            <w:bookmarkEnd w:id="6"/>
            <w:r>
              <w:lastRenderedPageBreak/>
              <w:t>2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</w:t>
            </w:r>
            <w:bookmarkStart w:id="7" w:name="_GoBack"/>
            <w:bookmarkEnd w:id="7"/>
            <w:r>
              <w:t>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иных случаях для расчетных периодов (месяцев), относящихся к </w:t>
            </w:r>
            <w:r>
              <w:lastRenderedPageBreak/>
              <w:t>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 xml:space="preserve">до 20000 </w:t>
            </w:r>
            <w:r>
              <w:lastRenderedPageBreak/>
              <w:t>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 xml:space="preserve">от 20000 до 30000 </w:t>
            </w:r>
            <w:r>
              <w:lastRenderedPageBreak/>
              <w:t>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 xml:space="preserve">до 16000 </w:t>
            </w:r>
            <w:r>
              <w:lastRenderedPageBreak/>
              <w:t>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 xml:space="preserve">от 16000 до 25000 </w:t>
            </w:r>
            <w:r>
              <w:lastRenderedPageBreak/>
              <w:t>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свыше 25000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8" w:name="P898"/>
            <w:bookmarkEnd w:id="8"/>
            <w:r>
              <w:t>5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16000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16000 до 25000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25000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9" w:name="P948"/>
            <w:bookmarkEnd w:id="9"/>
            <w:r>
              <w:t>7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20000 до 30000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30000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0" w:name="P977"/>
            <w:bookmarkEnd w:id="10"/>
            <w:r>
              <w:t>8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898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948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-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один общий прибор учета электрической энергии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  <w:tr w:rsidR="00B0208B">
        <w:tc>
          <w:tcPr>
            <w:tcW w:w="709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2710" w:type="dxa"/>
            <w:gridSpan w:val="4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0208B" w:rsidRDefault="00B0208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</w:t>
            </w:r>
          </w:p>
        </w:tc>
      </w:tr>
      <w:tr w:rsidR="00B0208B">
        <w:tc>
          <w:tcPr>
            <w:tcW w:w="709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202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до 11000 включительно</w:t>
            </w:r>
          </w:p>
        </w:tc>
        <w:tc>
          <w:tcPr>
            <w:tcW w:w="2048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от 11000 до 20000 включительно</w:t>
            </w:r>
          </w:p>
        </w:tc>
        <w:tc>
          <w:tcPr>
            <w:tcW w:w="2059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свыше 20000</w:t>
            </w:r>
          </w:p>
        </w:tc>
      </w:tr>
    </w:tbl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</w:pPr>
      <w:r>
        <w:t>Начальник отдела цен</w:t>
      </w:r>
    </w:p>
    <w:p w:rsidR="00B0208B" w:rsidRDefault="00B0208B">
      <w:pPr>
        <w:pStyle w:val="ConsPlusNormal"/>
        <w:jc w:val="right"/>
      </w:pPr>
      <w:r>
        <w:t>и тарифов на электроэнергию</w:t>
      </w:r>
    </w:p>
    <w:p w:rsidR="00B0208B" w:rsidRDefault="00B0208B">
      <w:pPr>
        <w:pStyle w:val="ConsPlusNormal"/>
        <w:jc w:val="right"/>
      </w:pPr>
      <w:r>
        <w:t>Ю.В.НЕЧЕСОВ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  <w:outlineLvl w:val="0"/>
      </w:pPr>
      <w:r>
        <w:lastRenderedPageBreak/>
        <w:t>Приложение 3</w:t>
      </w:r>
    </w:p>
    <w:p w:rsidR="00B0208B" w:rsidRDefault="00B0208B">
      <w:pPr>
        <w:pStyle w:val="ConsPlusNormal"/>
        <w:jc w:val="right"/>
      </w:pPr>
      <w:r>
        <w:t>к приказу</w:t>
      </w:r>
    </w:p>
    <w:p w:rsidR="00B0208B" w:rsidRDefault="00B0208B">
      <w:pPr>
        <w:pStyle w:val="ConsPlusNormal"/>
        <w:jc w:val="right"/>
      </w:pPr>
      <w:r>
        <w:t>департамента государственного</w:t>
      </w:r>
    </w:p>
    <w:p w:rsidR="00B0208B" w:rsidRDefault="00B0208B">
      <w:pPr>
        <w:pStyle w:val="ConsPlusNormal"/>
        <w:jc w:val="right"/>
      </w:pPr>
      <w:r>
        <w:t>регулирования тарифов</w:t>
      </w:r>
    </w:p>
    <w:p w:rsidR="00B0208B" w:rsidRDefault="00B0208B">
      <w:pPr>
        <w:pStyle w:val="ConsPlusNormal"/>
        <w:jc w:val="right"/>
      </w:pPr>
      <w:r>
        <w:t>Краснодарского края</w:t>
      </w:r>
    </w:p>
    <w:p w:rsidR="00B0208B" w:rsidRDefault="00B0208B">
      <w:pPr>
        <w:pStyle w:val="ConsPlusNormal"/>
        <w:jc w:val="right"/>
      </w:pPr>
      <w:r>
        <w:t>от 24 ноября 2023 г. N 27/2023-э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Title"/>
        <w:jc w:val="center"/>
      </w:pPr>
      <w:bookmarkStart w:id="11" w:name="P1055"/>
      <w:bookmarkEnd w:id="11"/>
      <w:r>
        <w:t>ПОНИЖАЮЩИЕ КОЭФФИЦИЕНТЫ</w:t>
      </w:r>
    </w:p>
    <w:p w:rsidR="00B0208B" w:rsidRDefault="00B0208B">
      <w:pPr>
        <w:pStyle w:val="ConsPlusTitle"/>
        <w:jc w:val="center"/>
      </w:pPr>
      <w:r>
        <w:t>ПРИ УСТАНОВЛЕНИИ ЦЕН (ТАРИФОВ) НА ЭЛЕКТРИЧЕСКУЮ</w:t>
      </w:r>
    </w:p>
    <w:p w:rsidR="00B0208B" w:rsidRDefault="00B0208B">
      <w:pPr>
        <w:pStyle w:val="ConsPlusTitle"/>
        <w:jc w:val="center"/>
      </w:pPr>
      <w:r>
        <w:t>ЭНЕРГИЮ (МОЩНОСТЬ)</w:t>
      </w:r>
    </w:p>
    <w:p w:rsidR="00B0208B" w:rsidRDefault="00B020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9865"/>
        <w:gridCol w:w="1511"/>
        <w:gridCol w:w="1511"/>
      </w:tblGrid>
      <w:tr w:rsidR="00B0208B">
        <w:tc>
          <w:tcPr>
            <w:tcW w:w="677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865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022" w:type="dxa"/>
            <w:gridSpan w:val="2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0208B">
        <w:tc>
          <w:tcPr>
            <w:tcW w:w="677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9865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</w:t>
            </w:r>
            <w:r>
              <w:lastRenderedPageBreak/>
              <w:t>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2" w:name="P1085"/>
            <w:bookmarkEnd w:id="12"/>
            <w:r>
              <w:t>4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3" w:name="P1099"/>
            <w:bookmarkEnd w:id="13"/>
            <w:r>
              <w:t>6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</w:t>
            </w:r>
            <w:r>
              <w:lastRenderedPageBreak/>
              <w:t>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085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1099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</w:pP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</w:t>
            </w:r>
            <w:r>
              <w:lastRenderedPageBreak/>
              <w:t>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1,0</w:t>
            </w:r>
          </w:p>
        </w:tc>
      </w:tr>
    </w:tbl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</w:pPr>
      <w:r>
        <w:t>Начальник отдела цен</w:t>
      </w:r>
    </w:p>
    <w:p w:rsidR="00B0208B" w:rsidRDefault="00B0208B">
      <w:pPr>
        <w:pStyle w:val="ConsPlusNormal"/>
        <w:jc w:val="right"/>
      </w:pPr>
      <w:r>
        <w:t>и тарифов на электроэнергию</w:t>
      </w:r>
    </w:p>
    <w:p w:rsidR="00B0208B" w:rsidRDefault="00B0208B">
      <w:pPr>
        <w:pStyle w:val="ConsPlusNormal"/>
        <w:jc w:val="right"/>
      </w:pPr>
      <w:r>
        <w:t>Ю.В.НЕЧЕСОВ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  <w:outlineLvl w:val="0"/>
      </w:pPr>
      <w:r>
        <w:t>Приложение 4</w:t>
      </w:r>
    </w:p>
    <w:p w:rsidR="00B0208B" w:rsidRDefault="00B0208B">
      <w:pPr>
        <w:pStyle w:val="ConsPlusNormal"/>
        <w:jc w:val="right"/>
      </w:pPr>
      <w:r>
        <w:t>к приказу</w:t>
      </w:r>
    </w:p>
    <w:p w:rsidR="00B0208B" w:rsidRDefault="00B0208B">
      <w:pPr>
        <w:pStyle w:val="ConsPlusNormal"/>
        <w:jc w:val="right"/>
      </w:pPr>
      <w:r>
        <w:t>департамента государственного</w:t>
      </w:r>
    </w:p>
    <w:p w:rsidR="00B0208B" w:rsidRDefault="00B0208B">
      <w:pPr>
        <w:pStyle w:val="ConsPlusNormal"/>
        <w:jc w:val="right"/>
      </w:pPr>
      <w:r>
        <w:t>регулирования тарифов</w:t>
      </w:r>
    </w:p>
    <w:p w:rsidR="00B0208B" w:rsidRDefault="00B0208B">
      <w:pPr>
        <w:pStyle w:val="ConsPlusNormal"/>
        <w:jc w:val="right"/>
      </w:pPr>
      <w:r>
        <w:t>Краснодарского края</w:t>
      </w:r>
    </w:p>
    <w:p w:rsidR="00B0208B" w:rsidRDefault="00B0208B">
      <w:pPr>
        <w:pStyle w:val="ConsPlusNormal"/>
        <w:jc w:val="right"/>
      </w:pPr>
      <w:r>
        <w:t>от 24 ноября 2023 г. N 27/2023-э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Title"/>
        <w:jc w:val="center"/>
      </w:pPr>
      <w:bookmarkStart w:id="14" w:name="P1149"/>
      <w:bookmarkEnd w:id="14"/>
      <w:r>
        <w:t>БАЛАНСОВЫЕ ПОКАЗАТЕЛИ</w:t>
      </w:r>
    </w:p>
    <w:p w:rsidR="00B0208B" w:rsidRDefault="00B0208B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B0208B" w:rsidRDefault="00B0208B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B0208B" w:rsidRDefault="00B0208B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B0208B" w:rsidRDefault="00B0208B">
      <w:pPr>
        <w:pStyle w:val="ConsPlusTitle"/>
        <w:jc w:val="center"/>
      </w:pPr>
      <w:r>
        <w:t>ПОТРЕБИТЕЛЕЙ ПО КРАСНОДАРСКОМУ КРАЮ, РЕСПУБЛИКЕ АДЫГЕЯ</w:t>
      </w:r>
    </w:p>
    <w:p w:rsidR="00B0208B" w:rsidRDefault="00B0208B">
      <w:pPr>
        <w:pStyle w:val="ConsPlusTitle"/>
        <w:jc w:val="center"/>
      </w:pPr>
      <w:r>
        <w:t>И ФЕДЕРАЛЬНОЙ ТЕРРИТОРИИ "СИРИУС"</w:t>
      </w:r>
    </w:p>
    <w:p w:rsidR="00B0208B" w:rsidRDefault="00B020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9865"/>
        <w:gridCol w:w="1511"/>
        <w:gridCol w:w="1511"/>
      </w:tblGrid>
      <w:tr w:rsidR="00B0208B">
        <w:tc>
          <w:tcPr>
            <w:tcW w:w="677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865" w:type="dxa"/>
            <w:vMerge w:val="restart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022" w:type="dxa"/>
            <w:gridSpan w:val="2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кВт-ч</w:t>
            </w:r>
          </w:p>
        </w:tc>
      </w:tr>
      <w:tr w:rsidR="00B0208B">
        <w:tc>
          <w:tcPr>
            <w:tcW w:w="677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9865" w:type="dxa"/>
            <w:vMerge/>
          </w:tcPr>
          <w:p w:rsidR="00B0208B" w:rsidRDefault="00B0208B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68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210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1625,493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1738,814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5" w:name="P1168"/>
            <w:bookmarkEnd w:id="15"/>
            <w:r>
              <w:t>2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16,797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23,460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763,845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883,875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2,150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2,771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6" w:name="P1189"/>
            <w:bookmarkEnd w:id="16"/>
            <w:r>
              <w:t>5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0,000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в домах, оборудованных стационарными </w:t>
            </w:r>
            <w:r>
              <w:lastRenderedPageBreak/>
              <w:t>электроплитами и не оборудованных электроотопительными установками,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0,000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7" w:name="P1203"/>
            <w:bookmarkEnd w:id="17"/>
            <w:r>
              <w:t>7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0,000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bookmarkStart w:id="18" w:name="P1210"/>
            <w:bookmarkEnd w:id="18"/>
            <w:r>
              <w:t>8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189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203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08B" w:rsidRDefault="00B0208B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2333,111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2288,184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</w:pP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0208B" w:rsidRDefault="00B0208B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0208B" w:rsidRDefault="00B0208B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7,199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7,293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130,828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119,172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2,992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2,759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2,766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2,457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6,631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6,705</w:t>
            </w:r>
          </w:p>
        </w:tc>
      </w:tr>
      <w:tr w:rsidR="00B0208B">
        <w:tc>
          <w:tcPr>
            <w:tcW w:w="677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9865" w:type="dxa"/>
            <w:vAlign w:val="center"/>
          </w:tcPr>
          <w:p w:rsidR="00B0208B" w:rsidRDefault="00B0208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0208B" w:rsidRDefault="00B0208B">
            <w:pPr>
              <w:pStyle w:val="ConsPlusNormal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нужды, и не используемую для осуществления коммерческой деятельности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lastRenderedPageBreak/>
              <w:t>44,683</w:t>
            </w:r>
          </w:p>
        </w:tc>
        <w:tc>
          <w:tcPr>
            <w:tcW w:w="1511" w:type="dxa"/>
            <w:vAlign w:val="center"/>
          </w:tcPr>
          <w:p w:rsidR="00B0208B" w:rsidRDefault="00B0208B">
            <w:pPr>
              <w:pStyle w:val="ConsPlusNormal"/>
              <w:jc w:val="center"/>
            </w:pPr>
            <w:r>
              <w:t>43,015</w:t>
            </w:r>
          </w:p>
        </w:tc>
      </w:tr>
    </w:tbl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right"/>
      </w:pPr>
      <w:r>
        <w:t>Начальник отдела цен</w:t>
      </w:r>
    </w:p>
    <w:p w:rsidR="00B0208B" w:rsidRDefault="00B0208B">
      <w:pPr>
        <w:pStyle w:val="ConsPlusNormal"/>
        <w:jc w:val="right"/>
      </w:pPr>
      <w:r>
        <w:t>и тарифов на электроэнергию</w:t>
      </w:r>
    </w:p>
    <w:p w:rsidR="00B0208B" w:rsidRDefault="00B0208B">
      <w:pPr>
        <w:pStyle w:val="ConsPlusNormal"/>
        <w:jc w:val="right"/>
      </w:pPr>
      <w:r>
        <w:t>Ю.В.НЕЧЕСОВ</w:t>
      </w: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jc w:val="both"/>
      </w:pPr>
    </w:p>
    <w:p w:rsidR="00B0208B" w:rsidRDefault="00B020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A6B" w:rsidRDefault="00FC7A6B"/>
    <w:sectPr w:rsidR="00FC7A6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8B"/>
    <w:rsid w:val="00B0208B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4505-C97A-44C5-8583-65A1713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20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20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6972BCBB2234A18B31C8DBC902AA9179627C93608909C2FE02EC287ABD7A1CED0CF3423E1886C11B3A885B7170F8A69NCDAJ" TargetMode="External"/><Relationship Id="rId13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16972BCBB2234A18B30280AAFC75A3149B7BC53C0E9DC875B02895D8FBD1F49C90916D72A4C36013ACB484B7N0DAJ" TargetMode="External"/><Relationship Id="rId12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6972BCBB2234A18B30280AAFC75A314987FC536039DC875B02895D8FBD1F49C90916D72A4C36013ACB484B7N0DAJ" TargetMode="External"/><Relationship Id="rId11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5" Type="http://schemas.openxmlformats.org/officeDocument/2006/relationships/hyperlink" Target="consultantplus://offline/ref=8D16972BCBB2234A18B30280AAFC75A3149B78C5360A9DC875B02895D8FBD1F49C90916D72A4C36013ACB484B7N0DAJ" TargetMode="External"/><Relationship Id="rId15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10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16972BCBB2234A18B30280AAFC75A3149C78C03501C0C27DE92497DFF48EE389D9C56072A5DD671AE6E7C0E0040D8B75C89FFA3A9662N6D3J" TargetMode="External"/><Relationship Id="rId14" Type="http://schemas.openxmlformats.org/officeDocument/2006/relationships/hyperlink" Target="consultantplus://offline/ref=8D16972BCBB2234A18B30280AAFC75A3149C78C03501C0C27DE92497DFF48EE389D9C56072A5DD671AE6E7C0E0040D8B75C89FFA3A9662N6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11763</Words>
  <Characters>67051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2023-12-01T09:03:00Z</dcterms:created>
  <dcterms:modified xsi:type="dcterms:W3CDTF">2023-12-01T09:09:00Z</dcterms:modified>
</cp:coreProperties>
</file>