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AB" w:rsidRPr="00B7196B" w:rsidRDefault="004B5CB6" w:rsidP="002D1F6B">
      <w:pPr>
        <w:spacing w:before="120" w:after="120"/>
        <w:rPr>
          <w:b/>
        </w:rPr>
      </w:pPr>
      <w:r w:rsidRPr="00B7196B">
        <w:rPr>
          <w:b/>
        </w:rPr>
        <w:t>ПОСЛЕДСТВИЯ ОТСУТСТВИЯ ПРИБОРОВ УЧЕТА</w:t>
      </w:r>
    </w:p>
    <w:p w:rsidR="00180F6E" w:rsidRDefault="00180F6E" w:rsidP="002D1F6B">
      <w:pPr>
        <w:spacing w:before="120" w:after="120"/>
      </w:pPr>
      <w:r>
        <w:t xml:space="preserve">В случае отсутствия прибора </w:t>
      </w:r>
      <w:r w:rsidR="00A80D99">
        <w:t>учета</w:t>
      </w:r>
      <w:r w:rsidR="002F7561">
        <w:t xml:space="preserve">, </w:t>
      </w:r>
      <w:r w:rsidR="00A80D99">
        <w:t xml:space="preserve">за исключением случаев </w:t>
      </w:r>
      <w:r w:rsidR="002F7561">
        <w:t>несанкционированного демонтажа,</w:t>
      </w:r>
      <w:r w:rsidR="00A80D99">
        <w:t xml:space="preserve"> </w:t>
      </w:r>
      <w:r>
        <w:t xml:space="preserve">определение объема потребленной (произведенной, переданной) электрической энергии определяется </w:t>
      </w:r>
      <w:r w:rsidR="00EE41F9">
        <w:t>на основании расчетных способов</w:t>
      </w:r>
      <w:r>
        <w:t xml:space="preserve"> </w:t>
      </w:r>
      <w:r w:rsidR="002F7561">
        <w:t>в зависимости от</w:t>
      </w:r>
      <w:r w:rsidR="00527457">
        <w:t xml:space="preserve"> категорий потребителей.</w:t>
      </w:r>
    </w:p>
    <w:p w:rsidR="00527457" w:rsidRDefault="00527457" w:rsidP="002D1F6B">
      <w:pPr>
        <w:spacing w:before="120" w:after="120"/>
      </w:pPr>
      <w:r>
        <w:t xml:space="preserve">В составе расчетных способов используется, в том числе «замещающая информация», которая определяется в соответствии с </w:t>
      </w:r>
      <w:r>
        <w:t>п. 1</w:t>
      </w:r>
      <w:r>
        <w:t>40</w:t>
      </w:r>
      <w:r>
        <w:t xml:space="preserve"> </w:t>
      </w:r>
      <w:r w:rsidRPr="0080148E">
        <w:t>Основны</w:t>
      </w:r>
      <w:r>
        <w:t>х</w:t>
      </w:r>
      <w:r w:rsidRPr="0080148E">
        <w:t xml:space="preserve"> положени</w:t>
      </w:r>
      <w:r>
        <w:t>й</w:t>
      </w:r>
      <w:r w:rsidRPr="0080148E">
        <w:t xml:space="preserve"> функционирования розничных рынков электрической энергии, утвержденны</w:t>
      </w:r>
      <w:r>
        <w:t>х</w:t>
      </w:r>
      <w:r w:rsidRPr="0080148E">
        <w:t xml:space="preserve"> Постановлением Правительства РФ от 04.05.2012 №442</w:t>
      </w:r>
      <w:r>
        <w:t>, далее Основные положения</w:t>
      </w:r>
      <w:r>
        <w:t>, следующим образом:</w:t>
      </w:r>
    </w:p>
    <w:p w:rsidR="00527457" w:rsidRDefault="00527457" w:rsidP="002D1F6B">
      <w:pPr>
        <w:spacing w:before="120" w:after="120"/>
      </w:pPr>
      <w:r w:rsidRPr="00527457">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527457" w:rsidRDefault="00527457" w:rsidP="002D1F6B">
      <w:pPr>
        <w:spacing w:before="120" w:after="120"/>
      </w:pPr>
      <w:r>
        <w:rPr>
          <w:b/>
        </w:rPr>
        <w:t>П</w:t>
      </w:r>
      <w:r w:rsidRPr="00B7196B">
        <w:rPr>
          <w:b/>
        </w:rPr>
        <w:t>отребители</w:t>
      </w:r>
      <w:r>
        <w:rPr>
          <w:b/>
        </w:rPr>
        <w:t xml:space="preserve"> за исключением населения и </w:t>
      </w:r>
      <w:r w:rsidR="00EE41F9">
        <w:rPr>
          <w:b/>
        </w:rPr>
        <w:t>и</w:t>
      </w:r>
      <w:r w:rsidR="00EE41F9" w:rsidRPr="00C227CD">
        <w:rPr>
          <w:b/>
        </w:rPr>
        <w:t>сполнител</w:t>
      </w:r>
      <w:r w:rsidR="00EE41F9">
        <w:rPr>
          <w:b/>
        </w:rPr>
        <w:t>ей</w:t>
      </w:r>
      <w:r w:rsidR="00EE41F9" w:rsidRPr="00C227CD">
        <w:rPr>
          <w:b/>
        </w:rPr>
        <w:t xml:space="preserve"> коммунальн</w:t>
      </w:r>
      <w:r w:rsidR="00EE41F9">
        <w:rPr>
          <w:b/>
        </w:rPr>
        <w:t>ых</w:t>
      </w:r>
      <w:r w:rsidR="00EE41F9" w:rsidRPr="00C227CD">
        <w:rPr>
          <w:b/>
        </w:rPr>
        <w:t xml:space="preserve"> услуг</w:t>
      </w:r>
      <w:r>
        <w:t>:</w:t>
      </w:r>
    </w:p>
    <w:p w:rsidR="00547EAD" w:rsidRDefault="00F0678D" w:rsidP="002D1F6B">
      <w:pPr>
        <w:spacing w:before="120" w:after="120"/>
      </w:pPr>
      <w:r>
        <w:t xml:space="preserve">(п. 179 </w:t>
      </w:r>
      <w:r w:rsidRPr="0080148E">
        <w:t>Основны</w:t>
      </w:r>
      <w:r>
        <w:t>х</w:t>
      </w:r>
      <w:r w:rsidRPr="0080148E">
        <w:t xml:space="preserve"> положени</w:t>
      </w:r>
      <w:r>
        <w:t>й</w:t>
      </w:r>
      <w:r>
        <w:t>)</w:t>
      </w:r>
    </w:p>
    <w:p w:rsidR="00527457" w:rsidRDefault="00527457" w:rsidP="002D1F6B">
      <w:pPr>
        <w:spacing w:before="120" w:after="120"/>
      </w:pPr>
      <w:r w:rsidRPr="00527457">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r w:rsidR="009709FB">
        <w:t xml:space="preserve"> </w:t>
      </w:r>
      <w:r w:rsidR="009709FB" w:rsidRPr="009709FB">
        <w:t>с учетом особенностей, указанных в пункте 136 настоящего док</w:t>
      </w:r>
      <w:r w:rsidR="009709FB">
        <w:t>умента</w:t>
      </w:r>
      <w:r>
        <w:t>.</w:t>
      </w:r>
    </w:p>
    <w:p w:rsidR="00EE41F9" w:rsidRDefault="00EE41F9" w:rsidP="002D1F6B">
      <w:pPr>
        <w:spacing w:before="120" w:after="120"/>
      </w:pPr>
      <w:r>
        <w:rPr>
          <w:b/>
        </w:rPr>
        <w:t>П</w:t>
      </w:r>
      <w:r w:rsidRPr="00B7196B">
        <w:rPr>
          <w:b/>
        </w:rPr>
        <w:t>отребители</w:t>
      </w:r>
      <w:r>
        <w:rPr>
          <w:b/>
        </w:rPr>
        <w:t xml:space="preserve"> за исключением населения и и</w:t>
      </w:r>
      <w:r w:rsidRPr="00C227CD">
        <w:rPr>
          <w:b/>
        </w:rPr>
        <w:t>сполнител</w:t>
      </w:r>
      <w:r>
        <w:rPr>
          <w:b/>
        </w:rPr>
        <w:t>ей</w:t>
      </w:r>
      <w:r w:rsidRPr="00C227CD">
        <w:rPr>
          <w:b/>
        </w:rPr>
        <w:t xml:space="preserve"> коммунальн</w:t>
      </w:r>
      <w:r>
        <w:rPr>
          <w:b/>
        </w:rPr>
        <w:t>ых</w:t>
      </w:r>
      <w:r w:rsidRPr="00C227CD">
        <w:rPr>
          <w:b/>
        </w:rPr>
        <w:t xml:space="preserve"> услуг</w:t>
      </w:r>
      <w:r>
        <w:rPr>
          <w:b/>
        </w:rPr>
        <w:t xml:space="preserve"> с максимальной мощностью менее 5 кВт</w:t>
      </w:r>
      <w:r>
        <w:t>:</w:t>
      </w:r>
    </w:p>
    <w:p w:rsidR="00EE41F9" w:rsidRDefault="00EE41F9" w:rsidP="002D1F6B">
      <w:pPr>
        <w:spacing w:before="120" w:after="120"/>
      </w:pPr>
      <w:r>
        <w:t>(п. 1</w:t>
      </w:r>
      <w:r>
        <w:t>85</w:t>
      </w:r>
      <w:r>
        <w:t xml:space="preserve"> </w:t>
      </w:r>
      <w:r w:rsidRPr="0080148E">
        <w:t>Основны</w:t>
      </w:r>
      <w:r>
        <w:t>х</w:t>
      </w:r>
      <w:r w:rsidRPr="0080148E">
        <w:t xml:space="preserve"> положени</w:t>
      </w:r>
      <w:r>
        <w:t>й)</w:t>
      </w:r>
    </w:p>
    <w:p w:rsidR="00EE41F9" w:rsidRPr="00EE41F9" w:rsidRDefault="00EE41F9" w:rsidP="002D1F6B">
      <w:pPr>
        <w:spacing w:before="120" w:after="120"/>
      </w:pPr>
      <w:r w:rsidRPr="00EE41F9">
        <w:t>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9709FB" w:rsidRDefault="009709FB" w:rsidP="002D1F6B">
      <w:pPr>
        <w:spacing w:before="120" w:after="120"/>
        <w:rPr>
          <w:b/>
        </w:rPr>
      </w:pPr>
      <w:r>
        <w:rPr>
          <w:b/>
        </w:rPr>
        <w:t>Производители электрической энергии</w:t>
      </w:r>
      <w:r w:rsidR="00AB6D42">
        <w:rPr>
          <w:b/>
        </w:rPr>
        <w:t>:</w:t>
      </w:r>
    </w:p>
    <w:p w:rsidR="009709FB" w:rsidRDefault="009709FB" w:rsidP="002D1F6B">
      <w:pPr>
        <w:spacing w:before="120" w:after="120"/>
      </w:pPr>
      <w:r>
        <w:t xml:space="preserve">(п. 180 </w:t>
      </w:r>
      <w:r w:rsidRPr="0080148E">
        <w:t>Основны</w:t>
      </w:r>
      <w:r>
        <w:t>х</w:t>
      </w:r>
      <w:r w:rsidRPr="0080148E">
        <w:t xml:space="preserve"> положени</w:t>
      </w:r>
      <w:r>
        <w:t>й)</w:t>
      </w:r>
    </w:p>
    <w:p w:rsidR="009709FB" w:rsidRPr="009709FB" w:rsidRDefault="009709FB" w:rsidP="002D1F6B">
      <w:pPr>
        <w:spacing w:before="120" w:after="120"/>
      </w:pPr>
      <w:r w:rsidRPr="009709FB">
        <w:t>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пункте 136 настоящего документа:</w:t>
      </w:r>
    </w:p>
    <w:p w:rsidR="009709FB" w:rsidRPr="009709FB" w:rsidRDefault="009709FB" w:rsidP="002D1F6B">
      <w:pPr>
        <w:spacing w:before="120" w:after="120"/>
      </w:pPr>
      <w:r w:rsidRPr="009709FB">
        <w:t>для 1-го и последующих часов первого расчетного периода определяется с использованием замещающей информации;</w:t>
      </w:r>
    </w:p>
    <w:p w:rsidR="009709FB" w:rsidRPr="009709FB" w:rsidRDefault="009709FB" w:rsidP="002D1F6B">
      <w:pPr>
        <w:spacing w:before="120" w:after="120"/>
      </w:pPr>
      <w:r w:rsidRPr="009709FB">
        <w:lastRenderedPageBreak/>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9709FB" w:rsidRPr="009709FB" w:rsidRDefault="009709FB" w:rsidP="002D1F6B">
      <w:pPr>
        <w:spacing w:before="120" w:after="120"/>
      </w:pPr>
      <w:r w:rsidRPr="009709FB">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9709FB" w:rsidRPr="009709FB" w:rsidRDefault="009709FB" w:rsidP="002D1F6B">
      <w:pPr>
        <w:spacing w:before="120" w:after="120"/>
      </w:pPr>
      <w:r w:rsidRPr="009709FB">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9709FB" w:rsidRPr="009709FB" w:rsidRDefault="009709FB" w:rsidP="002D1F6B">
      <w:pPr>
        <w:spacing w:before="120" w:after="120"/>
      </w:pPr>
      <w:r w:rsidRPr="009709FB">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527457" w:rsidRDefault="00527457" w:rsidP="002D1F6B">
      <w:pPr>
        <w:spacing w:before="120" w:after="120"/>
        <w:rPr>
          <w:b/>
        </w:rPr>
      </w:pPr>
      <w:r>
        <w:rPr>
          <w:b/>
        </w:rPr>
        <w:t>Сетевые организации:</w:t>
      </w:r>
    </w:p>
    <w:p w:rsidR="00527457" w:rsidRDefault="00527457" w:rsidP="002D1F6B">
      <w:pPr>
        <w:spacing w:before="120" w:after="120"/>
      </w:pPr>
      <w:r>
        <w:t>(п. 1</w:t>
      </w:r>
      <w:r>
        <w:t>81</w:t>
      </w:r>
      <w:r>
        <w:t xml:space="preserve"> </w:t>
      </w:r>
      <w:r w:rsidRPr="0080148E">
        <w:t>Основны</w:t>
      </w:r>
      <w:r>
        <w:t>х</w:t>
      </w:r>
      <w:r w:rsidRPr="0080148E">
        <w:t xml:space="preserve"> положени</w:t>
      </w:r>
      <w:r>
        <w:t>й)</w:t>
      </w:r>
    </w:p>
    <w:p w:rsidR="008F72F7" w:rsidRDefault="008F72F7" w:rsidP="002D1F6B">
      <w:pPr>
        <w:spacing w:before="120" w:after="120"/>
      </w:pPr>
      <w:r w:rsidRPr="008F72F7">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8F72F7" w:rsidRDefault="008F72F7" w:rsidP="002D1F6B">
      <w:pPr>
        <w:spacing w:before="120" w:after="120"/>
      </w:pPr>
      <w:r>
        <w:t>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8F72F7" w:rsidRDefault="008F72F7" w:rsidP="002D1F6B">
      <w:pPr>
        <w:spacing w:before="120" w:after="120"/>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8F72F7" w:rsidRDefault="008F72F7" w:rsidP="002D1F6B">
      <w:pPr>
        <w:spacing w:before="120" w:after="120"/>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16665A" w:rsidRPr="00AB6D42" w:rsidRDefault="00AB6D42" w:rsidP="002D1F6B">
      <w:pPr>
        <w:spacing w:before="120" w:after="120"/>
        <w:rPr>
          <w:b/>
        </w:rPr>
      </w:pPr>
      <w:r w:rsidRPr="00AB6D42">
        <w:rPr>
          <w:b/>
        </w:rPr>
        <w:lastRenderedPageBreak/>
        <w:t>Население:</w:t>
      </w:r>
    </w:p>
    <w:p w:rsidR="0016665A" w:rsidRDefault="00AB6D42" w:rsidP="002D1F6B">
      <w:pPr>
        <w:spacing w:before="120" w:after="120"/>
      </w:pPr>
      <w:r>
        <w:t xml:space="preserve">(п. </w:t>
      </w:r>
      <w:r w:rsidR="00A02C22">
        <w:t>42</w:t>
      </w:r>
      <w:r>
        <w:t xml:space="preserve"> </w:t>
      </w:r>
      <w:r w:rsidRPr="006934E0">
        <w:t>Правил предоставления коммунальных услуг собственникам и пользователям помещений в мног</w:t>
      </w:r>
      <w:r>
        <w:t>оквартирных домах и жилых домов</w:t>
      </w:r>
      <w:r w:rsidRPr="006934E0">
        <w:t>, утвержденны</w:t>
      </w:r>
      <w:r>
        <w:t>х</w:t>
      </w:r>
      <w:r w:rsidRPr="006934E0">
        <w:t xml:space="preserve"> Постановлением Правительства РФ от 06.05.2011 №354</w:t>
      </w:r>
      <w:r>
        <w:t xml:space="preserve"> (далее – Правила предоставления коммунальных услуг))</w:t>
      </w:r>
    </w:p>
    <w:p w:rsidR="00A02C22" w:rsidRDefault="00A02C22" w:rsidP="002D1F6B">
      <w:pPr>
        <w:spacing w:before="120" w:after="120"/>
      </w:pPr>
      <w:r w:rsidRPr="00A02C22">
        <w:t>При отсутствии индивидуального или общего (квартирного) прибора учета электрической энергии размер платы за коммунальную услугу по электроснабжению, предоставленную потребителю в жилом помещении, определяется в соответствии с формул</w:t>
      </w:r>
      <w:r>
        <w:t>ой</w:t>
      </w:r>
      <w:r w:rsidRPr="00A02C22">
        <w:t xml:space="preserve"> 4 приложения N 2 к настоящим Правилам исходя из нормативов п</w:t>
      </w:r>
      <w:r>
        <w:t>отребления коммунальной услуги.</w:t>
      </w:r>
    </w:p>
    <w:p w:rsidR="00A02C22" w:rsidRDefault="00A02C22" w:rsidP="002D1F6B">
      <w:pPr>
        <w:spacing w:before="120" w:after="120"/>
      </w:pPr>
      <w:r>
        <w:t>Формула 4:</w:t>
      </w:r>
    </w:p>
    <w:p w:rsidR="00A02C22" w:rsidRDefault="00A02C22" w:rsidP="002D1F6B">
      <w:pPr>
        <w:spacing w:before="120" w:after="120"/>
      </w:pPr>
      <w:r>
        <w:t xml:space="preserve">(приложение </w:t>
      </w:r>
      <w:r w:rsidRPr="00A02C22">
        <w:t>N 2</w:t>
      </w:r>
      <w:r>
        <w:t xml:space="preserve"> к Правилам предоставления коммунальных услуг)</w:t>
      </w:r>
    </w:p>
    <w:p w:rsidR="002F4D20" w:rsidRDefault="002F4D20" w:rsidP="002D1F6B">
      <w:pPr>
        <w:spacing w:before="120" w:after="120"/>
      </w:pPr>
      <w:r>
        <w:t>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rsidR="002F4D20" w:rsidRPr="002F4D20" w:rsidRDefault="002F4D20" w:rsidP="002D1F6B">
      <w:pPr>
        <w:spacing w:before="120" w:after="120"/>
        <w:rPr>
          <w:lang w:val="en-US"/>
        </w:rPr>
      </w:pPr>
      <w:r w:rsidRPr="002F4D20">
        <w:rPr>
          <w:lang w:val="en-US"/>
        </w:rPr>
        <w:t xml:space="preserve">Pi = </w:t>
      </w:r>
      <w:proofErr w:type="spellStart"/>
      <w:proofErr w:type="gramStart"/>
      <w:r w:rsidRPr="002F4D20">
        <w:rPr>
          <w:lang w:val="en-US"/>
        </w:rPr>
        <w:t>ni</w:t>
      </w:r>
      <w:proofErr w:type="spellEnd"/>
      <w:proofErr w:type="gramEnd"/>
      <w:r w:rsidRPr="002F4D20">
        <w:rPr>
          <w:lang w:val="en-US"/>
        </w:rPr>
        <w:t xml:space="preserve"> x </w:t>
      </w:r>
      <w:proofErr w:type="spellStart"/>
      <w:r w:rsidRPr="002F4D20">
        <w:rPr>
          <w:lang w:val="en-US"/>
        </w:rPr>
        <w:t>Nj</w:t>
      </w:r>
      <w:proofErr w:type="spellEnd"/>
      <w:r w:rsidRPr="002F4D20">
        <w:rPr>
          <w:lang w:val="en-US"/>
        </w:rPr>
        <w:t xml:space="preserve"> x T</w:t>
      </w:r>
      <w:proofErr w:type="spellStart"/>
      <w:r>
        <w:t>кр</w:t>
      </w:r>
      <w:proofErr w:type="spellEnd"/>
      <w:r w:rsidRPr="002F4D20">
        <w:rPr>
          <w:lang w:val="en-US"/>
        </w:rPr>
        <w:t>,</w:t>
      </w:r>
    </w:p>
    <w:p w:rsidR="002F4D20" w:rsidRDefault="002F4D20" w:rsidP="002D1F6B">
      <w:pPr>
        <w:spacing w:before="120" w:after="120"/>
      </w:pPr>
      <w:r>
        <w:t>где:</w:t>
      </w:r>
    </w:p>
    <w:p w:rsidR="002F4D20" w:rsidRDefault="002F4D20" w:rsidP="002D1F6B">
      <w:pPr>
        <w:spacing w:before="120" w:after="120"/>
      </w:pPr>
      <w:proofErr w:type="spellStart"/>
      <w:r>
        <w:t>ni</w:t>
      </w:r>
      <w:proofErr w:type="spellEnd"/>
      <w:r>
        <w:t xml:space="preserve"> - количество граждан, постоянно и временно проживающих в i-м жилом помещении;</w:t>
      </w:r>
    </w:p>
    <w:p w:rsidR="002F4D20" w:rsidRDefault="002F4D20" w:rsidP="002D1F6B">
      <w:pPr>
        <w:spacing w:before="120" w:after="120"/>
      </w:pPr>
      <w:proofErr w:type="spellStart"/>
      <w:r>
        <w:t>Nj</w:t>
      </w:r>
      <w:proofErr w:type="spellEnd"/>
      <w:r>
        <w:t xml:space="preserve"> - норматив потребления j-й коммунальной услуги;</w:t>
      </w:r>
    </w:p>
    <w:p w:rsidR="00A02C22" w:rsidRDefault="002F4D20" w:rsidP="002D1F6B">
      <w:pPr>
        <w:spacing w:before="120" w:after="120"/>
      </w:pPr>
      <w:proofErr w:type="spellStart"/>
      <w:r>
        <w:t>Tкр</w:t>
      </w:r>
      <w:proofErr w:type="spellEnd"/>
      <w:r>
        <w:t xml:space="preserve"> - тариф (цена) на коммунальный ресурс, установленный в соответствии с законодательством Российской Федерации;</w:t>
      </w:r>
    </w:p>
    <w:p w:rsidR="00C227CD" w:rsidRDefault="00C227CD" w:rsidP="002D1F6B">
      <w:pPr>
        <w:spacing w:before="120" w:after="120"/>
      </w:pPr>
      <w:r w:rsidRPr="00C227CD">
        <w:rPr>
          <w:b/>
        </w:rPr>
        <w:t>Исполнител</w:t>
      </w:r>
      <w:r>
        <w:rPr>
          <w:b/>
        </w:rPr>
        <w:t>и</w:t>
      </w:r>
      <w:r w:rsidRPr="00C227CD">
        <w:rPr>
          <w:b/>
        </w:rPr>
        <w:t xml:space="preserve"> коммунальн</w:t>
      </w:r>
      <w:r>
        <w:rPr>
          <w:b/>
        </w:rPr>
        <w:t>ых</w:t>
      </w:r>
      <w:r w:rsidRPr="00C227CD">
        <w:rPr>
          <w:b/>
        </w:rPr>
        <w:t xml:space="preserve"> услуг</w:t>
      </w:r>
      <w:r w:rsidRPr="00C227CD">
        <w:t xml:space="preserve"> </w:t>
      </w:r>
      <w:r>
        <w:t>(</w:t>
      </w:r>
      <w:r w:rsidRPr="00C227CD">
        <w:t>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w:t>
      </w:r>
      <w:r>
        <w:t>):</w:t>
      </w:r>
    </w:p>
    <w:p w:rsidR="00C227CD" w:rsidRDefault="00C227CD" w:rsidP="002D1F6B">
      <w:pPr>
        <w:spacing w:before="120" w:after="120"/>
      </w:pPr>
      <w:r>
        <w:t>(подпункт «</w:t>
      </w:r>
      <w:r w:rsidR="00BB391C">
        <w:t>в</w:t>
      </w:r>
      <w:r>
        <w:t>» п. 21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 №124)</w:t>
      </w:r>
    </w:p>
    <w:p w:rsidR="002D1F6B" w:rsidRDefault="002D1F6B" w:rsidP="002D1F6B">
      <w:pPr>
        <w:spacing w:before="120" w:after="120"/>
      </w:pPr>
      <w:r>
        <w:t>объем коммунального ресурса, за исключением тепловой энергии, используемой в целях предоставления коммунал</w:t>
      </w:r>
      <w:bookmarkStart w:id="0" w:name="_GoBack"/>
      <w:bookmarkEnd w:id="0"/>
      <w:r>
        <w:t>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2D1F6B" w:rsidRDefault="002D1F6B" w:rsidP="002D1F6B">
      <w:pPr>
        <w:autoSpaceDE w:val="0"/>
        <w:autoSpaceDN w:val="0"/>
        <w:adjustRightInd w:val="0"/>
        <w:spacing w:before="120" w:after="120" w:line="240" w:lineRule="auto"/>
        <w:jc w:val="both"/>
        <w:rPr>
          <w:rFonts w:ascii="Calibri" w:hAnsi="Calibri" w:cs="Calibri"/>
        </w:rPr>
      </w:pPr>
      <w:r>
        <w:rPr>
          <w:rFonts w:ascii="Calibri" w:hAnsi="Calibri" w:cs="Calibri"/>
          <w:noProof/>
          <w:position w:val="-9"/>
          <w:lang w:eastAsia="ru-RU"/>
        </w:rPr>
        <w:drawing>
          <wp:inline distT="0" distB="0" distL="0" distR="0">
            <wp:extent cx="3005455" cy="262255"/>
            <wp:effectExtent l="0" t="0" r="444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5455" cy="262255"/>
                    </a:xfrm>
                    <a:prstGeom prst="rect">
                      <a:avLst/>
                    </a:prstGeom>
                    <a:noFill/>
                    <a:ln>
                      <a:noFill/>
                    </a:ln>
                  </pic:spPr>
                </pic:pic>
              </a:graphicData>
            </a:graphic>
          </wp:inline>
        </w:drawing>
      </w:r>
      <w:r>
        <w:rPr>
          <w:rFonts w:ascii="Calibri" w:hAnsi="Calibri" w:cs="Calibri"/>
        </w:rPr>
        <w:t>,</w:t>
      </w:r>
    </w:p>
    <w:p w:rsidR="002D1F6B" w:rsidRDefault="002D1F6B" w:rsidP="002D1F6B">
      <w:pPr>
        <w:spacing w:before="120" w:after="120"/>
      </w:pPr>
      <w:r>
        <w:t>где:</w:t>
      </w:r>
    </w:p>
    <w:p w:rsidR="002D1F6B" w:rsidRDefault="002D1F6B" w:rsidP="002D1F6B">
      <w:pPr>
        <w:autoSpaceDE w:val="0"/>
        <w:autoSpaceDN w:val="0"/>
        <w:adjustRightInd w:val="0"/>
        <w:spacing w:before="120" w:after="120" w:line="240" w:lineRule="auto"/>
        <w:jc w:val="both"/>
      </w:pPr>
      <w:proofErr w:type="spellStart"/>
      <w:r w:rsidRPr="00A4780C">
        <w:rPr>
          <w:rFonts w:ascii="Calibri" w:hAnsi="Calibri" w:cs="Calibri"/>
          <w:sz w:val="24"/>
        </w:rPr>
        <w:t>V</w:t>
      </w:r>
      <w:r w:rsidRPr="00A4780C">
        <w:rPr>
          <w:rFonts w:ascii="Calibri" w:hAnsi="Calibri" w:cs="Calibri"/>
          <w:sz w:val="24"/>
          <w:vertAlign w:val="superscript"/>
        </w:rPr>
        <w:t>п</w:t>
      </w:r>
      <w:proofErr w:type="spellEnd"/>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2D1F6B" w:rsidRDefault="002D1F6B" w:rsidP="002D1F6B">
      <w:pPr>
        <w:spacing w:before="120" w:after="120"/>
      </w:pPr>
      <w:proofErr w:type="spellStart"/>
      <w:r w:rsidRPr="00A4780C">
        <w:rPr>
          <w:sz w:val="24"/>
        </w:rPr>
        <w:t>V</w:t>
      </w:r>
      <w:r w:rsidRPr="00A4780C">
        <w:rPr>
          <w:sz w:val="24"/>
          <w:vertAlign w:val="superscript"/>
        </w:rPr>
        <w:t>сред</w:t>
      </w:r>
      <w:proofErr w:type="spellEnd"/>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Правилами предоставления коммунальных услуг;</w:t>
      </w:r>
    </w:p>
    <w:p w:rsidR="00A4780C" w:rsidRPr="00A4780C" w:rsidRDefault="00A4780C" w:rsidP="00A4780C">
      <w:pPr>
        <w:autoSpaceDE w:val="0"/>
        <w:autoSpaceDN w:val="0"/>
        <w:adjustRightInd w:val="0"/>
        <w:spacing w:after="0" w:line="240" w:lineRule="auto"/>
        <w:jc w:val="both"/>
        <w:rPr>
          <w:rFonts w:ascii="Calibri" w:hAnsi="Calibri" w:cs="Calibri"/>
        </w:rPr>
      </w:pPr>
      <w:proofErr w:type="spellStart"/>
      <w:r w:rsidRPr="00A4780C">
        <w:rPr>
          <w:rFonts w:ascii="Calibri" w:hAnsi="Calibri" w:cs="Calibri"/>
          <w:sz w:val="24"/>
        </w:rPr>
        <w:lastRenderedPageBreak/>
        <w:t>V</w:t>
      </w:r>
      <w:r w:rsidRPr="00A4780C">
        <w:rPr>
          <w:rFonts w:ascii="Calibri" w:hAnsi="Calibri" w:cs="Calibri"/>
          <w:sz w:val="24"/>
          <w:vertAlign w:val="superscript"/>
        </w:rPr>
        <w:t>н</w:t>
      </w:r>
      <w:proofErr w:type="spellEnd"/>
      <w:r>
        <w:rPr>
          <w:rFonts w:ascii="Calibri" w:hAnsi="Calibri" w:cs="Calibri"/>
        </w:rPr>
        <w:t xml:space="preserve"> </w:t>
      </w:r>
      <w:r w:rsidR="002D1F6B">
        <w:t>-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Правилами предоставления коммунальных услуг;</w:t>
      </w:r>
    </w:p>
    <w:p w:rsidR="002D1F6B" w:rsidRDefault="002D1F6B" w:rsidP="002D1F6B">
      <w:pPr>
        <w:spacing w:before="120" w:after="120"/>
      </w:pPr>
      <w:proofErr w:type="spellStart"/>
      <w:r w:rsidRPr="00A4780C">
        <w:rPr>
          <w:sz w:val="24"/>
        </w:rPr>
        <w:t>V</w:t>
      </w:r>
      <w:r w:rsidRPr="00A4780C">
        <w:rPr>
          <w:sz w:val="24"/>
          <w:vertAlign w:val="superscript"/>
        </w:rPr>
        <w:t>расч</w:t>
      </w:r>
      <w:proofErr w:type="spellEnd"/>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Правилами предоставления коммунальных услуг исходя из расчетных объемов коммунального ресурса;</w:t>
      </w:r>
    </w:p>
    <w:p w:rsidR="002D1F6B" w:rsidRDefault="002D1F6B" w:rsidP="002D1F6B">
      <w:pPr>
        <w:spacing w:before="120" w:after="120"/>
      </w:pPr>
      <w:proofErr w:type="spellStart"/>
      <w:r w:rsidRPr="00A4780C">
        <w:rPr>
          <w:sz w:val="24"/>
        </w:rPr>
        <w:t>V</w:t>
      </w:r>
      <w:r w:rsidRPr="00A4780C">
        <w:rPr>
          <w:sz w:val="24"/>
          <w:vertAlign w:val="superscript"/>
        </w:rPr>
        <w:t>кр</w:t>
      </w:r>
      <w:proofErr w:type="spellEnd"/>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Правилами предоставления коммунальных услуг (в случае отсутствия централизованного теплоснабжения и (или) горячего водоснабжения);</w:t>
      </w:r>
    </w:p>
    <w:p w:rsidR="002D1F6B" w:rsidRPr="00A4780C" w:rsidRDefault="00A4780C" w:rsidP="00A4780C">
      <w:pPr>
        <w:autoSpaceDE w:val="0"/>
        <w:autoSpaceDN w:val="0"/>
        <w:adjustRightInd w:val="0"/>
        <w:spacing w:after="0" w:line="240" w:lineRule="auto"/>
        <w:jc w:val="both"/>
        <w:rPr>
          <w:rFonts w:ascii="Calibri" w:hAnsi="Calibri" w:cs="Calibri"/>
        </w:rPr>
      </w:pPr>
      <w:r w:rsidRPr="00A4780C">
        <w:rPr>
          <w:sz w:val="24"/>
          <w:lang w:val="en-US"/>
        </w:rPr>
        <w:t>V</w:t>
      </w:r>
      <w:r w:rsidRPr="00A4780C">
        <w:rPr>
          <w:sz w:val="24"/>
          <w:vertAlign w:val="superscript"/>
        </w:rPr>
        <w:t>н</w:t>
      </w:r>
      <w:r w:rsidRPr="00A4780C">
        <w:rPr>
          <w:sz w:val="24"/>
          <w:vertAlign w:val="subscript"/>
        </w:rPr>
        <w:t>одн</w:t>
      </w:r>
      <w:r w:rsidR="002D1F6B">
        <w:t>-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2D1F6B" w:rsidRDefault="002D1F6B" w:rsidP="002D1F6B">
      <w:pPr>
        <w:spacing w:before="120" w:after="120"/>
      </w:pPr>
      <w:r>
        <w:t xml:space="preserve">Величины </w:t>
      </w:r>
      <w:proofErr w:type="spellStart"/>
      <w:r w:rsidRPr="00A4780C">
        <w:rPr>
          <w:sz w:val="24"/>
        </w:rPr>
        <w:t>V</w:t>
      </w:r>
      <w:r w:rsidRPr="00A4780C">
        <w:rPr>
          <w:sz w:val="24"/>
          <w:vertAlign w:val="superscript"/>
        </w:rPr>
        <w:t>п</w:t>
      </w:r>
      <w:proofErr w:type="spellEnd"/>
      <w:r>
        <w:t xml:space="preserve">, </w:t>
      </w:r>
      <w:proofErr w:type="spellStart"/>
      <w:r w:rsidRPr="00A4780C">
        <w:rPr>
          <w:sz w:val="24"/>
        </w:rPr>
        <w:t>V</w:t>
      </w:r>
      <w:r w:rsidRPr="00A4780C">
        <w:rPr>
          <w:sz w:val="24"/>
          <w:vertAlign w:val="superscript"/>
        </w:rPr>
        <w:t>сред</w:t>
      </w:r>
      <w:proofErr w:type="spellEnd"/>
      <w:r>
        <w:t xml:space="preserve">, </w:t>
      </w:r>
      <w:proofErr w:type="spellStart"/>
      <w:r w:rsidRPr="00A4780C">
        <w:rPr>
          <w:sz w:val="24"/>
        </w:rPr>
        <w:t>V</w:t>
      </w:r>
      <w:r w:rsidRPr="00A4780C">
        <w:rPr>
          <w:sz w:val="24"/>
          <w:vertAlign w:val="superscript"/>
        </w:rPr>
        <w:t>расч</w:t>
      </w:r>
      <w:proofErr w:type="spellEnd"/>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sectPr w:rsidR="002D1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33B5"/>
    <w:multiLevelType w:val="hybridMultilevel"/>
    <w:tmpl w:val="D33670DE"/>
    <w:lvl w:ilvl="0" w:tplc="B98470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23"/>
    <w:rsid w:val="00033699"/>
    <w:rsid w:val="000626D6"/>
    <w:rsid w:val="0016665A"/>
    <w:rsid w:val="00180F6E"/>
    <w:rsid w:val="001B6945"/>
    <w:rsid w:val="002D1F6B"/>
    <w:rsid w:val="002F4D20"/>
    <w:rsid w:val="002F7561"/>
    <w:rsid w:val="004011CB"/>
    <w:rsid w:val="00467030"/>
    <w:rsid w:val="00481123"/>
    <w:rsid w:val="004B5CB6"/>
    <w:rsid w:val="00527457"/>
    <w:rsid w:val="00547EAD"/>
    <w:rsid w:val="005960B4"/>
    <w:rsid w:val="006934E0"/>
    <w:rsid w:val="00744AE8"/>
    <w:rsid w:val="00781937"/>
    <w:rsid w:val="0080148E"/>
    <w:rsid w:val="00842705"/>
    <w:rsid w:val="008F72F7"/>
    <w:rsid w:val="009106D4"/>
    <w:rsid w:val="00965BED"/>
    <w:rsid w:val="009709FB"/>
    <w:rsid w:val="00A02C22"/>
    <w:rsid w:val="00A4780C"/>
    <w:rsid w:val="00A80D99"/>
    <w:rsid w:val="00AB6D42"/>
    <w:rsid w:val="00AC68EF"/>
    <w:rsid w:val="00B557AB"/>
    <w:rsid w:val="00B7196B"/>
    <w:rsid w:val="00BB391C"/>
    <w:rsid w:val="00C050B9"/>
    <w:rsid w:val="00C227CD"/>
    <w:rsid w:val="00CB19BE"/>
    <w:rsid w:val="00DB34C8"/>
    <w:rsid w:val="00EE41F9"/>
    <w:rsid w:val="00F0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E84F"/>
  <w15:chartTrackingRefBased/>
  <w15:docId w15:val="{217C048E-520A-4E51-B995-2393AE39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Трояновский Алексей Игоревич</dc:creator>
  <cp:keywords/>
  <dc:description/>
  <cp:lastModifiedBy>Трояновский Алексей Игоревич</cp:lastModifiedBy>
  <cp:revision>21</cp:revision>
  <dcterms:created xsi:type="dcterms:W3CDTF">2023-06-14T13:01:00Z</dcterms:created>
  <dcterms:modified xsi:type="dcterms:W3CDTF">2023-06-15T13:19:00Z</dcterms:modified>
</cp:coreProperties>
</file>